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rFonts w:ascii="Calibri" w:cs="Calibri" w:eastAsia="Calibri" w:hAnsi="Calibri"/>
          <w:b/>
          <w:bCs/>
          <w:color w:val="0F766E"/>
          <w:sz w:val="22"/>
          <w:szCs w:val="22"/>
        </w:rPr>
        <w:t xml:space="preserve">RebateLedger</w:t>
      </w:r>
    </w:p>
    <w:p>
      <w:pPr>
        <w:spacing w:after="120"/>
      </w:pPr>
      <w:r>
        <w:rPr>
          <w:rFonts w:ascii="Calibri" w:cs="Calibri" w:eastAsia="Calibri" w:hAnsi="Calibri"/>
          <w:b/>
          <w:bCs/>
          <w:sz w:val="44"/>
          <w:szCs w:val="44"/>
        </w:rPr>
        <w:t xml:space="preserve">Ten Rebate Agreement Templates</w:t>
      </w:r>
    </w:p>
    <w:p>
      <w:pPr>
        <w:spacing w:after="240" w:before="0"/>
      </w:pPr>
      <w:r>
        <w:rPr>
          <w:rFonts w:ascii="Calibri" w:cs="Calibri" w:eastAsia="Calibri" w:hAnsi="Calibri"/>
          <w:color w:val="5B6670"/>
          <w:sz w:val="22"/>
          <w:szCs w:val="22"/>
        </w:rPr>
        <w:t xml:space="preserve">Annotated drafting templates for trade schemes, rebates, allowances and incentive agreements.</w:t>
      </w:r>
    </w:p>
    <w:p>
      <w:pPr>
        <w:pBdr>
          <w:bottom w:val="single" w:color="D6DBDF" w:sz="6"/>
        </w:pBdr>
        <w:spacing w:after="160" w:before="60"/>
      </w:pPr>
      <w:r>
        <w:rPr>
          <w:sz w:val="2"/>
          <w:szCs w:val="2"/>
        </w:rPr>
        <w:t xml:space="preserve"/>
      </w:r>
    </w:p>
    <w:p>
      <w:pPr>
        <w:pStyle w:val="Heading2"/>
        <w:spacing w:after="120" w:before="220"/>
      </w:pPr>
      <w:r>
        <w:t xml:space="preserve">How to use this pack</w:t>
      </w:r>
    </w:p>
    <w:p>
      <w:pPr>
        <w:spacing w:after="120" w:before="0"/>
      </w:pPr>
      <w:r>
        <w:rPr>
          <w:rFonts w:ascii="Calibri" w:cs="Calibri" w:eastAsia="Calibri" w:hAnsi="Calibri"/>
          <w:sz w:val="20"/>
          <w:szCs w:val="20"/>
        </w:rPr>
        <w:t xml:space="preserve">Each template below is drafted to be adapted, not signed as it stands. Text in [SQUARE BRACKETS] is for you to complete or elect. Clauses marked ◆ CRITICAL are the ones that decide whether the money can actually be computed and collected — they are the clauses most often absent from real agreements, and they are the ones worth insisting on.</w:t>
      </w:r>
    </w:p>
    <w:p>
      <w:pPr>
        <w:spacing w:after="120" w:before="0"/>
      </w:pPr>
      <w:r>
        <w:rPr>
          <w:rFonts w:ascii="Calibri" w:cs="Calibri" w:eastAsia="Calibri" w:hAnsi="Calibri"/>
          <w:sz w:val="20"/>
          <w:szCs w:val="20"/>
        </w:rPr>
        <w:t xml:space="preserve">Drafting notes in the orange-bordered boxes explain why a clause is there and what goes wrong without it. Delete them before issuing.</w:t>
      </w:r>
    </w:p>
    <w:p>
      <w:pPr>
        <w:spacing w:after="120" w:before="0"/>
      </w:pPr>
      <w:r>
        <w:rPr>
          <w:rFonts w:ascii="Calibri" w:cs="Calibri" w:eastAsia="Calibri" w:hAnsi="Calibri"/>
          <w:b/>
          <w:bCs/>
          <w:sz w:val="20"/>
          <w:szCs w:val="20"/>
        </w:rPr>
        <w:t xml:space="preserve">Six clauses recur across every template — calculation basis, qualifying purchase value, governing date, returns and credit notes, amendment, and claim window. They recur because those six ambiguities cause almost every rebate dispute. If you adopt nothing else from this pack, adopt those six.</w:t>
      </w:r>
    </w:p>
    <w:p>
      <w:pPr>
        <w:pStyle w:val="Heading2"/>
        <w:spacing w:after="120" w:before="220"/>
      </w:pPr>
      <w:r>
        <w:t xml:space="preserve">The six clauses that prevent most disputes</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2100"/>
        <w:gridCol w:w="3400"/>
        <w:gridCol w:w="3100"/>
      </w:tblGrid>
      <w:tr>
        <w:trPr>
          <w:tblHeader/>
        </w:trPr>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Clause</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The ambiguity it removes</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Cost when it is missing</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Calculation basis</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Whole-volume or stepped</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Can exceed half the value of the scheme</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Qualifying Purchase Value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GST, freight, on-invoice discount, free goods</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A persistent few percent on every claim</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Governing date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Invoice, despatch or receipt</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Lumpy disputes on period-boundary invoices</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Returns and credit notes</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Gross or net, and which returns</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One-directional; can drop the base a whole slab</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Amendment</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Whether revisions apply backwards</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History repriced silently; the top audit finding</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Claim window</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Days, from what event, measured to what</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No recovery route once missed</w:t>
            </w:r>
          </w:p>
        </w:tc>
      </w:tr>
    </w:tbl>
    <w:p>
      <w:pPr>
        <w:spacing w:before="200"/>
      </w:pPr>
      <w:r>
        <w:t xml:space="preserve"/>
      </w:r>
    </w:p>
    <w:p>
      <w:pPr>
        <w:pStyle w:val="Heading2"/>
        <w:spacing w:after="120" w:before="220"/>
      </w:pPr>
      <w:r>
        <w:t xml:space="preserve">Contents</w:t>
      </w:r>
    </w:p>
    <w:sdt>
      <w:sdtPr>
        <w:alias w:val="Contents"/>
      </w:sdtPr>
      <w:sdtContent>
        <w:p>
          <w:r>
            <w:fldChar w:fldCharType="begin" w:dirty="true"/>
            <w:instrText xml:space="preserve">TOC \h \o "1-1"</w:instrText>
            <w:fldChar w:fldCharType="separate"/>
          </w:r>
        </w:p>
        <w:p>
          <w:r>
            <w:fldChar w:fldCharType="end"/>
          </w:r>
        </w:p>
      </w:sdtContent>
    </w:sdt>
    <w:p>
      <w:r>
        <w:br w:type="page"/>
      </w:r>
    </w:p>
    <w:p>
      <w:pPr>
        <w:pStyle w:val="Heading1"/>
        <w:spacing w:after="160" w:before="240"/>
      </w:pPr>
      <w:r>
        <w:t xml:space="preserve">1.  Master Trade Terms Agreement</w:t>
      </w:r>
    </w:p>
    <w:p>
      <w:pPr>
        <w:pBdr>
          <w:left w:val="single" w:color="0F766E" w:sz="12" w:space="8"/>
        </w:pBdr>
        <w:spacing w:after="200"/>
        <w:ind w:left="288"/>
      </w:pPr>
      <w:r>
        <w:rPr>
          <w:rFonts w:ascii="Calibri" w:cs="Calibri" w:eastAsia="Calibri" w:hAnsi="Calibri"/>
          <w:b/>
          <w:bCs/>
          <w:color w:val="0F766E"/>
          <w:sz w:val="17"/>
          <w:szCs w:val="17"/>
        </w:rPr>
        <w:t xml:space="preserve">WHEN TO USE  </w:t>
      </w:r>
      <w:r>
        <w:rPr>
          <w:rFonts w:ascii="Calibri" w:cs="Calibri" w:eastAsia="Calibri" w:hAnsi="Calibri"/>
          <w:i/>
          <w:iCs/>
          <w:sz w:val="19"/>
          <w:szCs w:val="19"/>
        </w:rPr>
        <w:t xml:space="preserve">The umbrella agreement between a company and a distributor. Sets the parties, the relationship, and the framework under which individual schemes are issued. Use this once per counterparty, then issue schemes under it.</w:t>
      </w:r>
    </w:p>
    <w:p>
      <w:pPr>
        <w:pStyle w:val="Heading2"/>
        <w:spacing w:after="120" w:before="220"/>
      </w:pPr>
      <w:r>
        <w:t xml:space="preserve">1  Parties and term</w:t>
      </w:r>
    </w:p>
    <w:p>
      <w:pPr>
        <w:spacing w:after="60" w:before="160"/>
      </w:pPr>
      <w:r>
        <w:rPr>
          <w:rFonts w:ascii="Calibri" w:cs="Calibri" w:eastAsia="Calibri" w:hAnsi="Calibri"/>
          <w:b/>
          <w:bCs/>
          <w:color w:val="000000"/>
          <w:sz w:val="20"/>
          <w:szCs w:val="20"/>
        </w:rPr>
        <w:t xml:space="preserve">1.1  </w:t>
      </w:r>
      <w:r>
        <w:rPr>
          <w:rFonts w:ascii="Calibri" w:cs="Calibri" w:eastAsia="Calibri" w:hAnsi="Calibri"/>
          <w:b/>
          <w:bCs/>
          <w:color w:val="000000"/>
          <w:sz w:val="20"/>
          <w:szCs w:val="20"/>
        </w:rPr>
        <w:t xml:space="preserve">Parties</w:t>
      </w:r>
    </w:p>
    <w:p>
      <w:pPr>
        <w:spacing w:after="80"/>
        <w:ind w:left="460"/>
      </w:pPr>
      <w:r>
        <w:rPr>
          <w:rFonts w:ascii="Calibri" w:cs="Calibri" w:eastAsia="Calibri" w:hAnsi="Calibri"/>
          <w:sz w:val="20"/>
          <w:szCs w:val="20"/>
        </w:rPr>
        <w:t xml:space="preserve">This Agreement is made between [COMPANY NAME], [CIN / GSTIN], of [ADDRESS] (the "Company") and [DISTRIBUTOR NAME], [GSTIN], of [ADDRESS] (the "Distributor").</w:t>
      </w:r>
    </w:p>
    <w:p>
      <w:pPr>
        <w:spacing w:after="60" w:before="160"/>
      </w:pPr>
      <w:r>
        <w:rPr>
          <w:rFonts w:ascii="Calibri" w:cs="Calibri" w:eastAsia="Calibri" w:hAnsi="Calibri"/>
          <w:b/>
          <w:bCs/>
          <w:color w:val="000000"/>
          <w:sz w:val="20"/>
          <w:szCs w:val="20"/>
        </w:rPr>
        <w:t xml:space="preserve">1.2  </w:t>
      </w:r>
      <w:r>
        <w:rPr>
          <w:rFonts w:ascii="Calibri" w:cs="Calibri" w:eastAsia="Calibri" w:hAnsi="Calibri"/>
          <w:b/>
          <w:bCs/>
          <w:color w:val="000000"/>
          <w:sz w:val="20"/>
          <w:szCs w:val="20"/>
        </w:rPr>
        <w:t xml:space="preserve">Term</w:t>
      </w:r>
    </w:p>
    <w:p>
      <w:pPr>
        <w:spacing w:after="80"/>
        <w:ind w:left="460"/>
      </w:pPr>
      <w:r>
        <w:rPr>
          <w:rFonts w:ascii="Calibri" w:cs="Calibri" w:eastAsia="Calibri" w:hAnsi="Calibri"/>
          <w:sz w:val="20"/>
          <w:szCs w:val="20"/>
        </w:rPr>
        <w:t xml:space="preserve">This Agreement commences on [DATE] and continues until terminated in accordance with clause 6.3.</w:t>
      </w:r>
    </w:p>
    <w:p>
      <w:pPr>
        <w:spacing w:after="60" w:before="160"/>
      </w:pPr>
      <w:r>
        <w:rPr>
          <w:rFonts w:ascii="Calibri" w:cs="Calibri" w:eastAsia="Calibri" w:hAnsi="Calibri"/>
          <w:b/>
          <w:bCs/>
          <w:color w:val="000000"/>
          <w:sz w:val="20"/>
          <w:szCs w:val="20"/>
        </w:rPr>
        <w:t xml:space="preserve">1.3  </w:t>
      </w:r>
      <w:r>
        <w:rPr>
          <w:rFonts w:ascii="Calibri" w:cs="Calibri" w:eastAsia="Calibri" w:hAnsi="Calibri"/>
          <w:b/>
          <w:bCs/>
          <w:color w:val="000000"/>
          <w:sz w:val="20"/>
          <w:szCs w:val="20"/>
        </w:rPr>
        <w:t xml:space="preserve">Relationship</w:t>
      </w:r>
    </w:p>
    <w:p>
      <w:pPr>
        <w:spacing w:after="80"/>
        <w:ind w:left="460"/>
      </w:pPr>
      <w:r>
        <w:rPr>
          <w:rFonts w:ascii="Calibri" w:cs="Calibri" w:eastAsia="Calibri" w:hAnsi="Calibri"/>
          <w:sz w:val="20"/>
          <w:szCs w:val="20"/>
        </w:rPr>
        <w:t xml:space="preserve">The parties deal on a principal-to-principal basis. Nothing in this Agreement creates an agency, partnership or employment relationship.</w:t>
      </w:r>
    </w:p>
    <w:p>
      <w:pPr>
        <w:spacing w:after="60" w:before="160"/>
      </w:pPr>
      <w:r>
        <w:rPr>
          <w:rFonts w:ascii="Calibri" w:cs="Calibri" w:eastAsia="Calibri" w:hAnsi="Calibri"/>
          <w:b/>
          <w:bCs/>
          <w:color w:val="000000"/>
          <w:sz w:val="20"/>
          <w:szCs w:val="20"/>
        </w:rPr>
        <w:t xml:space="preserve">1.4  </w:t>
      </w:r>
      <w:r>
        <w:rPr>
          <w:rFonts w:ascii="Calibri" w:cs="Calibri" w:eastAsia="Calibri" w:hAnsi="Calibri"/>
          <w:b/>
          <w:bCs/>
          <w:color w:val="000000"/>
          <w:sz w:val="20"/>
          <w:szCs w:val="20"/>
        </w:rPr>
        <w:t xml:space="preserve">Territory and channel</w:t>
      </w:r>
    </w:p>
    <w:p>
      <w:pPr>
        <w:spacing w:after="80"/>
        <w:ind w:left="460"/>
      </w:pPr>
      <w:r>
        <w:rPr>
          <w:rFonts w:ascii="Calibri" w:cs="Calibri" w:eastAsia="Calibri" w:hAnsi="Calibri"/>
          <w:sz w:val="20"/>
          <w:szCs w:val="20"/>
        </w:rPr>
        <w:t xml:space="preserve">The Distributor is appointed for [TERRITORY] and for the [GENERAL TRADE / MODERN TRADE / INSTITUTIONAL] channel.</w:t>
      </w:r>
    </w:p>
    <w:p>
      <w:pPr>
        <w:pStyle w:val="Heading2"/>
        <w:spacing w:after="120" w:before="220"/>
      </w:pPr>
      <w:r>
        <w:t xml:space="preserve">2  Schemes issued under this Agreement</w:t>
      </w:r>
    </w:p>
    <w:p>
      <w:pPr>
        <w:spacing w:after="60" w:before="160"/>
      </w:pPr>
      <w:r>
        <w:rPr>
          <w:rFonts w:ascii="Calibri" w:cs="Calibri" w:eastAsia="Calibri" w:hAnsi="Calibri"/>
          <w:b/>
          <w:bCs/>
          <w:color w:val="0F766E"/>
          <w:sz w:val="20"/>
          <w:szCs w:val="20"/>
        </w:rPr>
        <w:t xml:space="preserve">2.1  </w:t>
      </w:r>
      <w:r>
        <w:rPr>
          <w:rFonts w:ascii="Calibri" w:cs="Calibri" w:eastAsia="Calibri" w:hAnsi="Calibri"/>
          <w:b/>
          <w:bCs/>
          <w:color w:val="0F766E"/>
          <w:sz w:val="20"/>
          <w:szCs w:val="20"/>
        </w:rPr>
        <w:t xml:space="preserve">Scheme circulars</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The Company may from time to time issue scheme circulars under this Agreement. Each circular shall carry a unique Scheme reference and shall state, as a minimum, the matters listed in Schedule B.</w:t>
      </w:r>
    </w:p>
    <w:p>
      <w:pPr>
        <w:spacing w:after="80"/>
        <w:ind w:left="460"/>
      </w:pPr>
      <w:r>
        <w:rPr>
          <w:rFonts w:ascii="Calibri" w:cs="Calibri" w:eastAsia="Calibri" w:hAnsi="Calibri"/>
          <w:sz w:val="20"/>
          <w:szCs w:val="20"/>
        </w:rPr>
        <w:t xml:space="preserve">Where a circular is silent on any matter listed in Schedule B, the corresponding provision of this Agreement shall apply.</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Clause 2.1 is the most valuable clause in this template. It makes the master agreement the default for every field a circular omits — which converts the most common problem in Indian distribution, the incomplete circular, into a solved one.</w:t>
      </w:r>
    </w:p>
    <w:p>
      <w:pPr>
        <w:spacing w:after="60" w:before="160"/>
      </w:pPr>
      <w:r>
        <w:rPr>
          <w:rFonts w:ascii="Calibri" w:cs="Calibri" w:eastAsia="Calibri" w:hAnsi="Calibri"/>
          <w:b/>
          <w:bCs/>
          <w:color w:val="000000"/>
          <w:sz w:val="20"/>
          <w:szCs w:val="20"/>
        </w:rPr>
        <w:t xml:space="preserve">2.2  </w:t>
      </w:r>
      <w:r>
        <w:rPr>
          <w:rFonts w:ascii="Calibri" w:cs="Calibri" w:eastAsia="Calibri" w:hAnsi="Calibri"/>
          <w:b/>
          <w:bCs/>
          <w:color w:val="000000"/>
          <w:sz w:val="20"/>
          <w:szCs w:val="20"/>
        </w:rPr>
        <w:t xml:space="preserve">Register</w:t>
      </w:r>
    </w:p>
    <w:p>
      <w:pPr>
        <w:spacing w:after="80"/>
        <w:ind w:left="460"/>
      </w:pPr>
      <w:r>
        <w:rPr>
          <w:rFonts w:ascii="Calibri" w:cs="Calibri" w:eastAsia="Calibri" w:hAnsi="Calibri"/>
          <w:sz w:val="20"/>
          <w:szCs w:val="20"/>
        </w:rPr>
        <w:t xml:space="preserve">The Company shall maintain a register of scheme circulars issued to the Distributor and shall provide it on request.</w:t>
      </w:r>
    </w:p>
    <w:p>
      <w:pPr>
        <w:pStyle w:val="Heading2"/>
        <w:spacing w:after="120" w:before="220"/>
      </w:pPr>
      <w:r>
        <w:t xml:space="preserve">3  Standard scheme terms</w:t>
      </w:r>
    </w:p>
    <w:p>
      <w:pPr>
        <w:spacing w:after="120" w:before="0"/>
      </w:pPr>
      <w:r>
        <w:rPr>
          <w:rFonts w:ascii="Calibri" w:cs="Calibri" w:eastAsia="Calibri" w:hAnsi="Calibri"/>
          <w:i/>
          <w:iCs/>
          <w:color w:val="5B6670"/>
          <w:sz w:val="20"/>
          <w:szCs w:val="20"/>
        </w:rPr>
        <w:t xml:space="preserve">The following apply to every scheme issued under this Agreement unless the relevant circular expressly provides otherwise.</w:t>
      </w:r>
    </w:p>
    <w:p>
      <w:pPr>
        <w:spacing w:after="60" w:before="160"/>
      </w:pPr>
      <w:r>
        <w:rPr>
          <w:rFonts w:ascii="Calibri" w:cs="Calibri" w:eastAsia="Calibri" w:hAnsi="Calibri"/>
          <w:b/>
          <w:bCs/>
          <w:color w:val="0F766E"/>
          <w:sz w:val="20"/>
          <w:szCs w:val="20"/>
        </w:rPr>
        <w:t xml:space="preserve">3.1  </w:t>
      </w:r>
      <w:r>
        <w:rPr>
          <w:rFonts w:ascii="Calibri" w:cs="Calibri" w:eastAsia="Calibri" w:hAnsi="Calibri"/>
          <w:b/>
          <w:bCs/>
          <w:color w:val="0F766E"/>
          <w:sz w:val="20"/>
          <w:szCs w:val="20"/>
        </w:rPr>
        <w:t xml:space="preserve">Calculation basis</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[OPTION A — WHOLE-VOLUME] The rate corresponding to the highest slab achieved shall apply to the entire Qualifying Purchase Value for the Scheme Period.</w:t>
      </w:r>
    </w:p>
    <w:p>
      <w:pPr>
        <w:spacing w:after="80"/>
        <w:ind w:left="460"/>
      </w:pPr>
      <w:r>
        <w:rPr>
          <w:rFonts w:ascii="Calibri" w:cs="Calibri" w:eastAsia="Calibri" w:hAnsi="Calibri"/>
          <w:sz w:val="20"/>
          <w:szCs w:val="20"/>
        </w:rPr>
        <w:t xml:space="preserve">[OPTION B — STEPPED] Each rate shall apply only to that portion of the Qualifying Purchase Value falling within its respective slab.</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Delete the option that does not apply. Leaving both, or leaving the basis unstated, is the single largest source of rebate disputes — on the same volume and slab table the two readings can differ by more than half the entitlement.</w:t>
      </w:r>
    </w:p>
    <w:p>
      <w:pPr>
        <w:spacing w:after="60" w:before="160"/>
      </w:pPr>
      <w:r>
        <w:rPr>
          <w:rFonts w:ascii="Calibri" w:cs="Calibri" w:eastAsia="Calibri" w:hAnsi="Calibri"/>
          <w:b/>
          <w:bCs/>
          <w:color w:val="0F766E"/>
          <w:sz w:val="20"/>
          <w:szCs w:val="20"/>
        </w:rPr>
        <w:t xml:space="preserve">3.2  </w:t>
      </w:r>
      <w:r>
        <w:rPr>
          <w:rFonts w:ascii="Calibri" w:cs="Calibri" w:eastAsia="Calibri" w:hAnsi="Calibri"/>
          <w:b/>
          <w:bCs/>
          <w:color w:val="0F766E"/>
          <w:sz w:val="20"/>
          <w:szCs w:val="20"/>
        </w:rPr>
        <w:t xml:space="preserve">Qualifying Purchase Value</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Qualifying Purchase Value means the net invoice value of Qualifying Products purchased by the Distributor from the Company during the Scheme Period, exclusive of GST, freight and insurance, after deduction of any on-invoice discount, and excluding any free-of-cost quantities.</w:t>
      </w:r>
    </w:p>
    <w:p>
      <w:pPr>
        <w:spacing w:after="80"/>
        <w:ind w:left="460"/>
      </w:pPr>
      <w:r>
        <w:rPr>
          <w:rFonts w:ascii="Calibri" w:cs="Calibri" w:eastAsia="Calibri" w:hAnsi="Calibri"/>
          <w:sz w:val="20"/>
          <w:szCs w:val="20"/>
        </w:rPr>
        <w:t xml:space="preserve">Purchases made by any entity other than those listed in Schedule A shall not count toward Qualifying Purchase Value.</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'Purchases' is not self-defining. Two parties computing honestly from identical invoices can differ by several percent on GST, freight, on-invoice discount and free goods. Amend the exclusions to match what was actually agreed.</w:t>
      </w:r>
    </w:p>
    <w:p>
      <w:pPr>
        <w:spacing w:after="60" w:before="160"/>
      </w:pPr>
      <w:r>
        <w:rPr>
          <w:rFonts w:ascii="Calibri" w:cs="Calibri" w:eastAsia="Calibri" w:hAnsi="Calibri"/>
          <w:b/>
          <w:bCs/>
          <w:color w:val="0F766E"/>
          <w:sz w:val="20"/>
          <w:szCs w:val="20"/>
        </w:rPr>
        <w:t xml:space="preserve">3.3  </w:t>
      </w:r>
      <w:r>
        <w:rPr>
          <w:rFonts w:ascii="Calibri" w:cs="Calibri" w:eastAsia="Calibri" w:hAnsi="Calibri"/>
          <w:b/>
          <w:bCs/>
          <w:color w:val="0F766E"/>
          <w:sz w:val="20"/>
          <w:szCs w:val="20"/>
        </w:rPr>
        <w:t xml:space="preserve">Governing date</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A transaction falls within the Scheme Period where the tax invoice is dated within the Scheme Period, irrespective of the date of despatch or the date of receipt of goods.</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Replace 'tax invoice is dated' with despatch or receipt if that is what was agreed. Period-boundary transactions are where this dispute always occurs, and it recurs every period until the clause exists.</w:t>
      </w:r>
    </w:p>
    <w:p>
      <w:pPr>
        <w:spacing w:after="60" w:before="160"/>
      </w:pPr>
      <w:r>
        <w:rPr>
          <w:rFonts w:ascii="Calibri" w:cs="Calibri" w:eastAsia="Calibri" w:hAnsi="Calibri"/>
          <w:b/>
          <w:bCs/>
          <w:color w:val="0F766E"/>
          <w:sz w:val="20"/>
          <w:szCs w:val="20"/>
        </w:rPr>
        <w:t xml:space="preserve">3.4  </w:t>
      </w:r>
      <w:r>
        <w:rPr>
          <w:rFonts w:ascii="Calibri" w:cs="Calibri" w:eastAsia="Calibri" w:hAnsi="Calibri"/>
          <w:b/>
          <w:bCs/>
          <w:color w:val="0F766E"/>
          <w:sz w:val="20"/>
          <w:szCs w:val="20"/>
        </w:rPr>
        <w:t xml:space="preserve">Returns and credit notes</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Qualifying Purchase Value shall be reduced by the value of all returns and credit notes raised during the Scheme Period, irrespective of the period of the original supply.</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Near a slab threshold, netting does not merely reduce the base — it can drop it into a lower slab, so the rate falls on the entire base. State whether prior-period returns count.</w:t>
      </w:r>
    </w:p>
    <w:p>
      <w:pPr>
        <w:spacing w:after="60" w:before="160"/>
      </w:pPr>
      <w:r>
        <w:rPr>
          <w:rFonts w:ascii="Calibri" w:cs="Calibri" w:eastAsia="Calibri" w:hAnsi="Calibri"/>
          <w:b/>
          <w:bCs/>
          <w:color w:val="0F766E"/>
          <w:sz w:val="20"/>
          <w:szCs w:val="20"/>
        </w:rPr>
        <w:t xml:space="preserve">3.5  </w:t>
      </w:r>
      <w:r>
        <w:rPr>
          <w:rFonts w:ascii="Calibri" w:cs="Calibri" w:eastAsia="Calibri" w:hAnsi="Calibri"/>
          <w:b/>
          <w:bCs/>
          <w:color w:val="0F766E"/>
          <w:sz w:val="20"/>
          <w:szCs w:val="20"/>
        </w:rPr>
        <w:t xml:space="preserve">Amendment</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Any amendment to this Agreement, including any revision to rates, slabs, Qualifying Products or Scheme Period, shall be notified in writing not less than [15] days before its effective date and shall apply prospectively only.</w:t>
      </w:r>
    </w:p>
    <w:p>
      <w:pPr>
        <w:spacing w:after="80"/>
        <w:ind w:left="460"/>
      </w:pPr>
      <w:r>
        <w:rPr>
          <w:rFonts w:ascii="Calibri" w:cs="Calibri" w:eastAsia="Calibri" w:hAnsi="Calibri"/>
          <w:sz w:val="20"/>
          <w:szCs w:val="20"/>
        </w:rPr>
        <w:t xml:space="preserve">Transactions occurring before the effective date of an amendment shall be computed on the terms in force at the time of the transaction.</w:t>
      </w:r>
    </w:p>
    <w:p>
      <w:pPr>
        <w:spacing w:after="80"/>
        <w:ind w:left="460"/>
      </w:pPr>
      <w:r>
        <w:rPr>
          <w:rFonts w:ascii="Calibri" w:cs="Calibri" w:eastAsia="Calibri" w:hAnsi="Calibri"/>
          <w:sz w:val="20"/>
          <w:szCs w:val="20"/>
        </w:rPr>
        <w:t xml:space="preserve">Each amendment shall carry a version number and an effective date, and the Company shall maintain and provide on request the version history of this Agreement.</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This clause prevents the most common finding in rebate audits — that the version of the agreement live on a transaction date cannot be produced. Without it, a mid-period revision silently reprices work already done.</w:t>
      </w:r>
    </w:p>
    <w:p>
      <w:pPr>
        <w:spacing w:after="60" w:before="160"/>
      </w:pPr>
      <w:r>
        <w:rPr>
          <w:rFonts w:ascii="Calibri" w:cs="Calibri" w:eastAsia="Calibri" w:hAnsi="Calibri"/>
          <w:b/>
          <w:bCs/>
          <w:color w:val="0F766E"/>
          <w:sz w:val="20"/>
          <w:szCs w:val="20"/>
        </w:rPr>
        <w:t xml:space="preserve">3.6  </w:t>
      </w:r>
      <w:r>
        <w:rPr>
          <w:rFonts w:ascii="Calibri" w:cs="Calibri" w:eastAsia="Calibri" w:hAnsi="Calibri"/>
          <w:b/>
          <w:bCs/>
          <w:color w:val="0F766E"/>
          <w:sz w:val="20"/>
          <w:szCs w:val="20"/>
        </w:rPr>
        <w:t xml:space="preserve">Claim window</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Claims shall be submitted within [60] days of the end of the Scheme Period.</w:t>
      </w:r>
    </w:p>
    <w:p>
      <w:pPr>
        <w:spacing w:after="80"/>
        <w:ind w:left="460"/>
      </w:pPr>
      <w:r>
        <w:rPr>
          <w:rFonts w:ascii="Calibri" w:cs="Calibri" w:eastAsia="Calibri" w:hAnsi="Calibri"/>
          <w:sz w:val="20"/>
          <w:szCs w:val="20"/>
        </w:rPr>
        <w:t xml:space="preserve">Submission is complete on receipt of the Company's written acknowledgement, which the Company shall issue within [2] working days of receiving a claim.</w:t>
      </w:r>
    </w:p>
    <w:p>
      <w:pPr>
        <w:spacing w:after="80"/>
        <w:ind w:left="460"/>
      </w:pPr>
      <w:r>
        <w:rPr>
          <w:rFonts w:ascii="Calibri" w:cs="Calibri" w:eastAsia="Calibri" w:hAnsi="Calibri"/>
          <w:sz w:val="20"/>
          <w:szCs w:val="20"/>
        </w:rPr>
        <w:t xml:space="preserve">Where the Company raises a query on a claim, the claim window shall be extended by the number of days between the query and the Distributor's response.</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The second sentence is the one to negotiate. A window measured to acknowledgement, with no obligation on the Company to acknowledge, is a window the Company controls. A missed window has no recovery route.</w:t>
      </w:r>
    </w:p>
    <w:p>
      <w:pPr>
        <w:pStyle w:val="Heading2"/>
        <w:spacing w:after="120" w:before="220"/>
      </w:pPr>
      <w:r>
        <w:t xml:space="preserve">4  Settlement</w:t>
      </w:r>
    </w:p>
    <w:p>
      <w:pPr>
        <w:spacing w:after="60" w:before="160"/>
      </w:pPr>
      <w:r>
        <w:rPr>
          <w:rFonts w:ascii="Calibri" w:cs="Calibri" w:eastAsia="Calibri" w:hAnsi="Calibri"/>
          <w:b/>
          <w:bCs/>
          <w:color w:val="000000"/>
          <w:sz w:val="20"/>
          <w:szCs w:val="20"/>
        </w:rPr>
        <w:t xml:space="preserve">4.1  </w:t>
      </w:r>
      <w:r>
        <w:rPr>
          <w:rFonts w:ascii="Calibri" w:cs="Calibri" w:eastAsia="Calibri" w:hAnsi="Calibri"/>
          <w:b/>
          <w:bCs/>
          <w:color w:val="000000"/>
          <w:sz w:val="20"/>
          <w:szCs w:val="20"/>
        </w:rPr>
        <w:t xml:space="preserve">Method and timing</w:t>
      </w:r>
    </w:p>
    <w:p>
      <w:pPr>
        <w:spacing w:after="80"/>
        <w:ind w:left="460"/>
      </w:pPr>
      <w:r>
        <w:rPr>
          <w:rFonts w:ascii="Calibri" w:cs="Calibri" w:eastAsia="Calibri" w:hAnsi="Calibri"/>
          <w:sz w:val="20"/>
          <w:szCs w:val="20"/>
        </w:rPr>
        <w:t xml:space="preserve">The Company shall settle approved claims within [30] days of approval by way of credit note.</w:t>
      </w:r>
    </w:p>
    <w:p>
      <w:pPr>
        <w:spacing w:after="80"/>
        <w:ind w:left="460"/>
      </w:pPr>
      <w:r>
        <w:rPr>
          <w:rFonts w:ascii="Calibri" w:cs="Calibri" w:eastAsia="Calibri" w:hAnsi="Calibri"/>
          <w:sz w:val="20"/>
          <w:szCs w:val="20"/>
        </w:rPr>
        <w:t xml:space="preserve">The Company shall validate a claim and either approve it or raise a query within [15] working days of acknowledgement.</w:t>
      </w:r>
    </w:p>
    <w:p>
      <w:pPr>
        <w:spacing w:after="60" w:before="160"/>
      </w:pPr>
      <w:r>
        <w:rPr>
          <w:rFonts w:ascii="Calibri" w:cs="Calibri" w:eastAsia="Calibri" w:hAnsi="Calibri"/>
          <w:b/>
          <w:bCs/>
          <w:color w:val="0F766E"/>
          <w:sz w:val="20"/>
          <w:szCs w:val="20"/>
        </w:rPr>
        <w:t xml:space="preserve">4.2  </w:t>
      </w:r>
      <w:r>
        <w:rPr>
          <w:rFonts w:ascii="Calibri" w:cs="Calibri" w:eastAsia="Calibri" w:hAnsi="Calibri"/>
          <w:b/>
          <w:bCs/>
          <w:color w:val="0F766E"/>
          <w:sz w:val="20"/>
          <w:szCs w:val="20"/>
        </w:rPr>
        <w:t xml:space="preserve">Settlement document reference</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Every credit note issued in settlement shall state the Scheme reference, the Scheme Period and the claim number to which it relates.</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Not a statutory requirement and the highest-leverage clause in the document. A credit note naming only an amount and a date cannot be reconciled, so the claim stays open and may be chased again.</w:t>
      </w:r>
    </w:p>
    <w:p>
      <w:pPr>
        <w:spacing w:after="60" w:before="160"/>
      </w:pPr>
      <w:r>
        <w:rPr>
          <w:rFonts w:ascii="Calibri" w:cs="Calibri" w:eastAsia="Calibri" w:hAnsi="Calibri"/>
          <w:b/>
          <w:bCs/>
          <w:color w:val="000000"/>
          <w:sz w:val="20"/>
          <w:szCs w:val="20"/>
        </w:rPr>
        <w:t xml:space="preserve">4.3  </w:t>
      </w:r>
      <w:r>
        <w:rPr>
          <w:rFonts w:ascii="Calibri" w:cs="Calibri" w:eastAsia="Calibri" w:hAnsi="Calibri"/>
          <w:b/>
          <w:bCs/>
          <w:color w:val="000000"/>
          <w:sz w:val="20"/>
          <w:szCs w:val="20"/>
        </w:rPr>
        <w:t xml:space="preserve">Tax treatment</w:t>
      </w:r>
    </w:p>
    <w:p>
      <w:pPr>
        <w:spacing w:after="80"/>
        <w:ind w:left="460"/>
      </w:pPr>
      <w:r>
        <w:rPr>
          <w:rFonts w:ascii="Calibri" w:cs="Calibri" w:eastAsia="Calibri" w:hAnsi="Calibri"/>
          <w:sz w:val="20"/>
          <w:szCs w:val="20"/>
        </w:rPr>
        <w:t xml:space="preserve">The parties shall agree at the outset whether settlement is to be made by tax credit note or by commercial credit note, and shall record that election in Schedule A.</w:t>
      </w:r>
    </w:p>
    <w:p>
      <w:pPr>
        <w:spacing w:after="80"/>
        <w:ind w:left="460"/>
      </w:pPr>
      <w:r>
        <w:rPr>
          <w:rFonts w:ascii="Calibri" w:cs="Calibri" w:eastAsia="Calibri" w:hAnsi="Calibri"/>
          <w:sz w:val="20"/>
          <w:szCs w:val="20"/>
        </w:rPr>
        <w:t xml:space="preserve">Where settlement is by tax credit note, the Distributor shall reverse the input tax credit attributable to the discount in accordance with applicable law, and shall confirm such reversal to the Company on request.</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Tax positions change. The Finance Act 2026 amends Section 15(3)(b) and Section 34 in respect of post-supply discounts; those amendments had not commenced at the time this template was prepared. Confirm the position in force with a tax advisor before relying on this clause.</w:t>
      </w:r>
    </w:p>
    <w:p>
      <w:pPr>
        <w:pStyle w:val="Heading2"/>
        <w:spacing w:after="120" w:before="220"/>
      </w:pPr>
      <w:r>
        <w:t xml:space="preserve">5  Evidence</w:t>
      </w:r>
    </w:p>
    <w:p>
      <w:pPr>
        <w:spacing w:after="60" w:before="160"/>
      </w:pPr>
      <w:r>
        <w:rPr>
          <w:rFonts w:ascii="Calibri" w:cs="Calibri" w:eastAsia="Calibri" w:hAnsi="Calibri"/>
          <w:b/>
          <w:bCs/>
          <w:color w:val="000000"/>
          <w:sz w:val="20"/>
          <w:szCs w:val="20"/>
        </w:rPr>
        <w:t xml:space="preserve">5.1  </w:t>
      </w:r>
      <w:r>
        <w:rPr>
          <w:rFonts w:ascii="Calibri" w:cs="Calibri" w:eastAsia="Calibri" w:hAnsi="Calibri"/>
          <w:b/>
          <w:bCs/>
          <w:color w:val="000000"/>
          <w:sz w:val="20"/>
          <w:szCs w:val="20"/>
        </w:rPr>
        <w:t xml:space="preserve">Requirement</w:t>
      </w:r>
    </w:p>
    <w:p>
      <w:pPr>
        <w:spacing w:after="80"/>
        <w:ind w:left="460"/>
      </w:pPr>
      <w:r>
        <w:rPr>
          <w:rFonts w:ascii="Calibri" w:cs="Calibri" w:eastAsia="Calibri" w:hAnsi="Calibri"/>
          <w:sz w:val="20"/>
          <w:szCs w:val="20"/>
        </w:rPr>
        <w:t xml:space="preserve">Where a scheme requires proof of performance, the circular shall specify the evidence in terms precise enough for both parties to determine whether it has been met.</w:t>
      </w:r>
    </w:p>
    <w:p>
      <w:pPr>
        <w:spacing w:after="60" w:before="160"/>
      </w:pPr>
      <w:r>
        <w:rPr>
          <w:rFonts w:ascii="Calibri" w:cs="Calibri" w:eastAsia="Calibri" w:hAnsi="Calibri"/>
          <w:b/>
          <w:bCs/>
          <w:color w:val="000000"/>
          <w:sz w:val="20"/>
          <w:szCs w:val="20"/>
        </w:rPr>
        <w:t xml:space="preserve">5.2  </w:t>
      </w:r>
      <w:r>
        <w:rPr>
          <w:rFonts w:ascii="Calibri" w:cs="Calibri" w:eastAsia="Calibri" w:hAnsi="Calibri"/>
          <w:b/>
          <w:bCs/>
          <w:color w:val="000000"/>
          <w:sz w:val="20"/>
          <w:szCs w:val="20"/>
        </w:rPr>
        <w:t xml:space="preserve">Realisability</w:t>
      </w:r>
    </w:p>
    <w:p>
      <w:pPr>
        <w:spacing w:after="80"/>
        <w:ind w:left="460"/>
      </w:pPr>
      <w:r>
        <w:rPr>
          <w:rFonts w:ascii="Calibri" w:cs="Calibri" w:eastAsia="Calibri" w:hAnsi="Calibri"/>
          <w:sz w:val="20"/>
          <w:szCs w:val="20"/>
        </w:rPr>
        <w:t xml:space="preserve">The Company shall not require evidence that the Distributor cannot reasonably obtain. Where a scheme depends on secondary sales or retailer data, the acceptable form and source shall be agreed before the scheme commences.</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A scheme requiring evidence nobody will provide is unadministrable, and every claim under it will be disputed. This clause moves that conversation to before the scheme runs.</w:t>
      </w:r>
    </w:p>
    <w:p>
      <w:pPr>
        <w:pStyle w:val="Heading2"/>
        <w:spacing w:after="120" w:before="220"/>
      </w:pPr>
      <w:r>
        <w:t xml:space="preserve">6  Records, disputes and termination</w:t>
      </w:r>
    </w:p>
    <w:p>
      <w:pPr>
        <w:spacing w:after="60" w:before="160"/>
      </w:pPr>
      <w:r>
        <w:rPr>
          <w:rFonts w:ascii="Calibri" w:cs="Calibri" w:eastAsia="Calibri" w:hAnsi="Calibri"/>
          <w:b/>
          <w:bCs/>
          <w:color w:val="000000"/>
          <w:sz w:val="20"/>
          <w:szCs w:val="20"/>
        </w:rPr>
        <w:t xml:space="preserve">6.1  </w:t>
      </w:r>
      <w:r>
        <w:rPr>
          <w:rFonts w:ascii="Calibri" w:cs="Calibri" w:eastAsia="Calibri" w:hAnsi="Calibri"/>
          <w:b/>
          <w:bCs/>
          <w:color w:val="000000"/>
          <w:sz w:val="20"/>
          <w:szCs w:val="20"/>
        </w:rPr>
        <w:t xml:space="preserve">Reconciliation</w:t>
      </w:r>
    </w:p>
    <w:p>
      <w:pPr>
        <w:spacing w:after="80"/>
        <w:ind w:left="460"/>
      </w:pPr>
      <w:r>
        <w:rPr>
          <w:rFonts w:ascii="Calibri" w:cs="Calibri" w:eastAsia="Calibri" w:hAnsi="Calibri"/>
          <w:sz w:val="20"/>
          <w:szCs w:val="20"/>
        </w:rPr>
        <w:t xml:space="preserve">Where a claim is settled for less than the amount claimed, the Company shall provide a line-level reconciliation identifying the specific transactions and the reason for each difference.</w:t>
      </w:r>
    </w:p>
    <w:p>
      <w:pPr>
        <w:spacing w:after="80"/>
        <w:ind w:left="460"/>
      </w:pPr>
      <w:r>
        <w:rPr>
          <w:rFonts w:ascii="Calibri" w:cs="Calibri" w:eastAsia="Calibri" w:hAnsi="Calibri"/>
          <w:sz w:val="20"/>
          <w:szCs w:val="20"/>
        </w:rPr>
        <w:t xml:space="preserve">The Distributor shall raise any dispute within [30] days of receiving the settlement, identifying the specific invoices and the clause relied upon.</w:t>
      </w:r>
    </w:p>
    <w:p>
      <w:pPr>
        <w:spacing w:after="60" w:before="160"/>
      </w:pPr>
      <w:r>
        <w:rPr>
          <w:rFonts w:ascii="Calibri" w:cs="Calibri" w:eastAsia="Calibri" w:hAnsi="Calibri"/>
          <w:b/>
          <w:bCs/>
          <w:color w:val="000000"/>
          <w:sz w:val="20"/>
          <w:szCs w:val="20"/>
        </w:rPr>
        <w:t xml:space="preserve">6.2  </w:t>
      </w:r>
      <w:r>
        <w:rPr>
          <w:rFonts w:ascii="Calibri" w:cs="Calibri" w:eastAsia="Calibri" w:hAnsi="Calibri"/>
          <w:b/>
          <w:bCs/>
          <w:color w:val="000000"/>
          <w:sz w:val="20"/>
          <w:szCs w:val="20"/>
        </w:rPr>
        <w:t xml:space="preserve">Records</w:t>
      </w:r>
    </w:p>
    <w:p>
      <w:pPr>
        <w:spacing w:after="80"/>
        <w:ind w:left="460"/>
      </w:pPr>
      <w:r>
        <w:rPr>
          <w:rFonts w:ascii="Calibri" w:cs="Calibri" w:eastAsia="Calibri" w:hAnsi="Calibri"/>
          <w:sz w:val="20"/>
          <w:szCs w:val="20"/>
        </w:rPr>
        <w:t xml:space="preserve">Each party shall retain the Agreement and all amendments, claims, evidence, acknowledgements and settlement documents for the period required by applicable law.</w:t>
      </w:r>
    </w:p>
    <w:p>
      <w:pPr>
        <w:spacing w:after="80"/>
        <w:ind w:left="460"/>
      </w:pPr>
      <w:r>
        <w:rPr>
          <w:rFonts w:ascii="Calibri" w:cs="Calibri" w:eastAsia="Calibri" w:hAnsi="Calibri"/>
          <w:sz w:val="20"/>
          <w:szCs w:val="20"/>
        </w:rPr>
        <w:t xml:space="preserve">The Company shall on request provide the version of the Agreement in force on any specified date.</w:t>
      </w:r>
    </w:p>
    <w:p>
      <w:pPr>
        <w:spacing w:after="60" w:before="160"/>
      </w:pPr>
      <w:r>
        <w:rPr>
          <w:rFonts w:ascii="Calibri" w:cs="Calibri" w:eastAsia="Calibri" w:hAnsi="Calibri"/>
          <w:b/>
          <w:bCs/>
          <w:color w:val="0F766E"/>
          <w:sz w:val="20"/>
          <w:szCs w:val="20"/>
        </w:rPr>
        <w:t xml:space="preserve">6.3  </w:t>
      </w:r>
      <w:r>
        <w:rPr>
          <w:rFonts w:ascii="Calibri" w:cs="Calibri" w:eastAsia="Calibri" w:hAnsi="Calibri"/>
          <w:b/>
          <w:bCs/>
          <w:color w:val="0F766E"/>
          <w:sz w:val="20"/>
          <w:szCs w:val="20"/>
        </w:rPr>
        <w:t xml:space="preserve">Termination and survival</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On termination of this Agreement, entitlement accrued to the date of termination shall be payable on a pro rata basis.</w:t>
      </w:r>
    </w:p>
    <w:p>
      <w:pPr>
        <w:spacing w:after="80"/>
        <w:ind w:left="460"/>
      </w:pPr>
      <w:r>
        <w:rPr>
          <w:rFonts w:ascii="Calibri" w:cs="Calibri" w:eastAsia="Calibri" w:hAnsi="Calibri"/>
          <w:sz w:val="20"/>
          <w:szCs w:val="20"/>
        </w:rPr>
        <w:t xml:space="preserve">The claim window in respect of any completed Scheme Period shall survive termination.</w:t>
      </w:r>
    </w:p>
    <w:p>
      <w:pPr>
        <w:spacing w:after="80"/>
        <w:ind w:left="460"/>
      </w:pPr>
      <w:r>
        <w:rPr>
          <w:rFonts w:ascii="Calibri" w:cs="Calibri" w:eastAsia="Calibri" w:hAnsi="Calibri"/>
          <w:sz w:val="20"/>
          <w:szCs w:val="20"/>
        </w:rPr>
        <w:t xml:space="preserve">The Company shall give not less than [30] days' written notice of termination or non-renewal.</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Usually absent, and it decides what happens to money already earned — and to stock bought to reach a threshold that is now unreachable.</w:t>
      </w:r>
    </w:p>
    <w:p>
      <w:pPr>
        <w:pStyle w:val="Heading2"/>
        <w:spacing w:after="120" w:before="220"/>
      </w:pPr>
      <w:r>
        <w:t xml:space="preserve">Schedule A — Parties, entities and elections</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3600"/>
        <w:gridCol w:w="5000"/>
      </w:tblGrid>
      <w:tr>
        <w:trPr>
          <w:tblHeader/>
        </w:trPr>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Item</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Detail</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Qualifying entities and branches</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Excluded entities</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Settlement document election (tax / commercial credit note)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Company claims contact</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Escalation contact</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Distributor claims contact</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bl>
    <w:p>
      <w:pPr>
        <w:spacing w:after="160" w:before="0"/>
      </w:pPr>
      <w:r>
        <w:rPr>
          <w:rFonts w:ascii="Calibri" w:cs="Calibri" w:eastAsia="Calibri" w:hAnsi="Calibri"/>
          <w:sz w:val="20"/>
          <w:szCs w:val="20"/>
        </w:rPr>
        <w:t xml:space="preserve"/>
      </w:r>
    </w:p>
    <w:p>
      <w:pPr>
        <w:pStyle w:val="Heading2"/>
        <w:spacing w:after="120" w:before="220"/>
      </w:pPr>
      <w:r>
        <w:t xml:space="preserve">Schedule B — Minimum contents of a scheme circular</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700"/>
        <w:gridCol w:w="7900"/>
      </w:tblGrid>
      <w:tr>
        <w:trPr>
          <w:tblHeader/>
        </w:trPr>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Field</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1</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Scheme reference and issuing company</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2</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Scheme Period — start and end</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3</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Governing date — invoice, despatch or receipt</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4</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Qualifying Products, at the pack level transacted</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5</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Qualifying entities, branches or channels</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6</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Basis — quantity or value</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7</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Whole-volume or stepped</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8</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Rate or slab table</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9</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Cap, floor or minimum threshold</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10</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Whether the base is gross or net of returns</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11</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Interaction with other live schemes</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12</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Claim window in days, and from what event</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13</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Evidence required</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14</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Contact for queries</w:t>
            </w:r>
          </w:p>
        </w:tc>
      </w:tr>
    </w:tbl>
    <w:p>
      <w:pPr>
        <w:spacing w:after="160" w:before="0"/>
      </w:pPr>
      <w:r>
        <w:rPr>
          <w:rFonts w:ascii="Calibri" w:cs="Calibri" w:eastAsia="Calibri" w:hAnsi="Calibri"/>
          <w:sz w:val="20"/>
          <w:szCs w:val="20"/>
        </w:rPr>
        <w:t xml:space="preserve"/>
      </w:r>
    </w:p>
    <w:p>
      <w:pPr>
        <w:pStyle w:val="Heading3"/>
        <w:spacing w:after="100" w:before="180"/>
      </w:pPr>
      <w:r>
        <w:t xml:space="preserve">Execution</w:t>
      </w:r>
    </w:p>
    <w:p>
      <w:pPr>
        <w:spacing w:after="200" w:before="0"/>
      </w:pPr>
      <w:r>
        <w:rPr>
          <w:rFonts w:ascii="Calibri" w:cs="Calibri" w:eastAsia="Calibri" w:hAnsi="Calibri"/>
          <w:sz w:val="20"/>
          <w:szCs w:val="20"/>
        </w:rPr>
        <w:t xml:space="preserve">Signed for and on behalf of the parties by their duly authorised representatives.</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1400"/>
        <w:gridCol w:w="3600"/>
        <w:gridCol w:w="3600"/>
      </w:tblGrid>
      <w:tr>
        <w:trPr>
          <w:tblHeader/>
        </w:trPr>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Supplier / Company</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Distributor / Dealer</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Name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Designation</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Signature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Date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Company seal</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bl>
    <w:p>
      <w:pPr>
        <w:spacing w:after="120" w:before="0"/>
      </w:pPr>
      <w:r>
        <w:rPr>
          <w:rFonts w:ascii="Calibri" w:cs="Calibri" w:eastAsia="Calibri" w:hAnsi="Calibri"/>
          <w:sz w:val="20"/>
          <w:szCs w:val="20"/>
        </w:rPr>
        <w:t xml:space="preserve"/>
      </w:r>
    </w:p>
    <w:p>
      <w:r>
        <w:br w:type="page"/>
      </w:r>
    </w:p>
    <w:p>
      <w:pPr>
        <w:pStyle w:val="Heading1"/>
        <w:spacing w:after="160" w:before="240"/>
      </w:pPr>
      <w:r>
        <w:t xml:space="preserve">2.  Volume Rebate / Turnover Discount Agreement</w:t>
      </w:r>
    </w:p>
    <w:p>
      <w:pPr>
        <w:pBdr>
          <w:left w:val="single" w:color="0F766E" w:sz="12" w:space="8"/>
        </w:pBdr>
        <w:spacing w:after="200"/>
        <w:ind w:left="288"/>
      </w:pPr>
      <w:r>
        <w:rPr>
          <w:rFonts w:ascii="Calibri" w:cs="Calibri" w:eastAsia="Calibri" w:hAnsi="Calibri"/>
          <w:b/>
          <w:bCs/>
          <w:color w:val="0F766E"/>
          <w:sz w:val="17"/>
          <w:szCs w:val="17"/>
        </w:rPr>
        <w:t xml:space="preserve">WHEN TO USE  </w:t>
      </w:r>
      <w:r>
        <w:rPr>
          <w:rFonts w:ascii="Calibri" w:cs="Calibri" w:eastAsia="Calibri" w:hAnsi="Calibri"/>
          <w:i/>
          <w:iCs/>
          <w:sz w:val="19"/>
          <w:szCs w:val="19"/>
        </w:rPr>
        <w:t xml:space="preserve">A slab-based rebate on cumulative purchase value over a period. The most common instrument in distribution — and the one where the whole-volume question costs the most.</w:t>
      </w:r>
    </w:p>
    <w:p>
      <w:pPr>
        <w:pStyle w:val="Heading2"/>
        <w:spacing w:after="120" w:before="220"/>
      </w:pPr>
      <w:r>
        <w:t xml:space="preserve">1  Scheme particulars</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2800"/>
        <w:gridCol w:w="5800"/>
      </w:tblGrid>
      <w:tr>
        <w:trPr>
          <w:tblHeader/>
        </w:trPr>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Field</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Detail</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Scheme reference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[TOD/____/____]</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Company</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[COMPANY NAME]</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Distributor</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[DISTRIBUTOR NAME], GSTIN [____]</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Scheme Period</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[DD-MMM-YYYY] to [DD-MMM-YYYY]</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Basis</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Value of Qualifying Purchases</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Calculation basis</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[WHOLE-VOLUME / STEPPED]</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Governing date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[INVOICE / DESPATCH / RECEIPT]</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Qualifying Products</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[ALL / as per Annexure 1]</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Cap</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[₹____ / None]</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Claim window</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[60] days from Scheme Period end</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Settlement</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[Tax / Commercial] credit note within [30] days of approval</w:t>
            </w:r>
          </w:p>
        </w:tc>
      </w:tr>
    </w:tbl>
    <w:p>
      <w:pPr>
        <w:spacing w:after="160" w:before="0"/>
      </w:pPr>
      <w:r>
        <w:rPr>
          <w:rFonts w:ascii="Calibri" w:cs="Calibri" w:eastAsia="Calibri" w:hAnsi="Calibri"/>
          <w:sz w:val="20"/>
          <w:szCs w:val="20"/>
        </w:rPr>
        <w:t xml:space="preserve"/>
      </w:r>
    </w:p>
    <w:p>
      <w:pPr>
        <w:pStyle w:val="Heading2"/>
        <w:spacing w:after="120" w:before="220"/>
      </w:pPr>
      <w:r>
        <w:t xml:space="preserve">2  Slab table</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900"/>
        <w:gridCol w:w="5100"/>
        <w:gridCol w:w="2600"/>
      </w:tblGrid>
      <w:tr>
        <w:trPr>
          <w:tblHeader/>
        </w:trPr>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Slab</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Cumulative Qualifying Purchase Value</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Rate</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1</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Up to ₹[____]</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[0.00]%</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2</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₹[____] to ₹[____]</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[____]%</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3</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₹[____] to ₹[____]</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[____]%</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4</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Above ₹[____]</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[____]%</w:t>
            </w:r>
          </w:p>
        </w:tc>
      </w:tr>
    </w:tbl>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Worked illustration on a 0 / 1.5 / 2.5 / 3.5% table with slabs at ₹25L, ₹50L and ₹75L: on ₹57,00,000 of qualifying purchases, whole-volume pays ₹1,42,500 and stepped pays ₹55,000. Identical volume, identical table, a difference of ₹87,500. State the basis in clause 3.1.</w:t>
      </w:r>
    </w:p>
    <w:p>
      <w:pPr>
        <w:pStyle w:val="Heading2"/>
        <w:spacing w:after="120" w:before="220"/>
      </w:pPr>
      <w:r>
        <w:t xml:space="preserve">3  Standard terms</w:t>
      </w:r>
    </w:p>
    <w:p>
      <w:pPr>
        <w:spacing w:after="60" w:before="160"/>
      </w:pPr>
      <w:r>
        <w:rPr>
          <w:rFonts w:ascii="Calibri" w:cs="Calibri" w:eastAsia="Calibri" w:hAnsi="Calibri"/>
          <w:b/>
          <w:bCs/>
          <w:color w:val="0F766E"/>
          <w:sz w:val="20"/>
          <w:szCs w:val="20"/>
        </w:rPr>
        <w:t xml:space="preserve">3.1  </w:t>
      </w:r>
      <w:r>
        <w:rPr>
          <w:rFonts w:ascii="Calibri" w:cs="Calibri" w:eastAsia="Calibri" w:hAnsi="Calibri"/>
          <w:b/>
          <w:bCs/>
          <w:color w:val="0F766E"/>
          <w:sz w:val="20"/>
          <w:szCs w:val="20"/>
        </w:rPr>
        <w:t xml:space="preserve">Calculation basis</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[OPTION A — WHOLE-VOLUME] The rate corresponding to the highest slab achieved shall apply to the entire Qualifying Purchase Value for the Scheme Period.</w:t>
      </w:r>
    </w:p>
    <w:p>
      <w:pPr>
        <w:spacing w:after="80"/>
        <w:ind w:left="460"/>
      </w:pPr>
      <w:r>
        <w:rPr>
          <w:rFonts w:ascii="Calibri" w:cs="Calibri" w:eastAsia="Calibri" w:hAnsi="Calibri"/>
          <w:sz w:val="20"/>
          <w:szCs w:val="20"/>
        </w:rPr>
        <w:t xml:space="preserve">[OPTION B — STEPPED] Each rate shall apply only to that portion of the Qualifying Purchase Value falling within its respective slab.</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Delete the option that does not apply. Leaving both, or leaving the basis unstated, is the single largest source of rebate disputes — on the same volume and slab table the two readings can differ by more than half the entitlement.</w:t>
      </w:r>
    </w:p>
    <w:p>
      <w:pPr>
        <w:spacing w:after="60" w:before="160"/>
      </w:pPr>
      <w:r>
        <w:rPr>
          <w:rFonts w:ascii="Calibri" w:cs="Calibri" w:eastAsia="Calibri" w:hAnsi="Calibri"/>
          <w:b/>
          <w:bCs/>
          <w:color w:val="0F766E"/>
          <w:sz w:val="20"/>
          <w:szCs w:val="20"/>
        </w:rPr>
        <w:t xml:space="preserve">3.2  </w:t>
      </w:r>
      <w:r>
        <w:rPr>
          <w:rFonts w:ascii="Calibri" w:cs="Calibri" w:eastAsia="Calibri" w:hAnsi="Calibri"/>
          <w:b/>
          <w:bCs/>
          <w:color w:val="0F766E"/>
          <w:sz w:val="20"/>
          <w:szCs w:val="20"/>
        </w:rPr>
        <w:t xml:space="preserve">Qualifying Purchase Value</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Qualifying Purchase Value means the net invoice value of Qualifying Products purchased by the Distributor from the Company during the Scheme Period, exclusive of GST, freight and insurance, after deduction of any on-invoice discount, and excluding any free-of-cost quantities.</w:t>
      </w:r>
    </w:p>
    <w:p>
      <w:pPr>
        <w:spacing w:after="80"/>
        <w:ind w:left="460"/>
      </w:pPr>
      <w:r>
        <w:rPr>
          <w:rFonts w:ascii="Calibri" w:cs="Calibri" w:eastAsia="Calibri" w:hAnsi="Calibri"/>
          <w:sz w:val="20"/>
          <w:szCs w:val="20"/>
        </w:rPr>
        <w:t xml:space="preserve">Purchases made by any entity other than those listed in Schedule A shall not count toward Qualifying Purchase Value.</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'Purchases' is not self-defining. Two parties computing honestly from identical invoices can differ by several percent on GST, freight, on-invoice discount and free goods. Amend the exclusions to match what was actually agreed.</w:t>
      </w:r>
    </w:p>
    <w:p>
      <w:pPr>
        <w:spacing w:after="60" w:before="160"/>
      </w:pPr>
      <w:r>
        <w:rPr>
          <w:rFonts w:ascii="Calibri" w:cs="Calibri" w:eastAsia="Calibri" w:hAnsi="Calibri"/>
          <w:b/>
          <w:bCs/>
          <w:color w:val="0F766E"/>
          <w:sz w:val="20"/>
          <w:szCs w:val="20"/>
        </w:rPr>
        <w:t xml:space="preserve">3.3  </w:t>
      </w:r>
      <w:r>
        <w:rPr>
          <w:rFonts w:ascii="Calibri" w:cs="Calibri" w:eastAsia="Calibri" w:hAnsi="Calibri"/>
          <w:b/>
          <w:bCs/>
          <w:color w:val="0F766E"/>
          <w:sz w:val="20"/>
          <w:szCs w:val="20"/>
        </w:rPr>
        <w:t xml:space="preserve">Governing date</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A transaction falls within the Scheme Period where the tax invoice is dated within the Scheme Period, irrespective of the date of despatch or the date of receipt of goods.</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Replace 'tax invoice is dated' with despatch or receipt if that is what was agreed. Period-boundary transactions are where this dispute always occurs, and it recurs every period until the clause exists.</w:t>
      </w:r>
    </w:p>
    <w:p>
      <w:pPr>
        <w:spacing w:after="60" w:before="160"/>
      </w:pPr>
      <w:r>
        <w:rPr>
          <w:rFonts w:ascii="Calibri" w:cs="Calibri" w:eastAsia="Calibri" w:hAnsi="Calibri"/>
          <w:b/>
          <w:bCs/>
          <w:color w:val="0F766E"/>
          <w:sz w:val="20"/>
          <w:szCs w:val="20"/>
        </w:rPr>
        <w:t xml:space="preserve">3.4  </w:t>
      </w:r>
      <w:r>
        <w:rPr>
          <w:rFonts w:ascii="Calibri" w:cs="Calibri" w:eastAsia="Calibri" w:hAnsi="Calibri"/>
          <w:b/>
          <w:bCs/>
          <w:color w:val="0F766E"/>
          <w:sz w:val="20"/>
          <w:szCs w:val="20"/>
        </w:rPr>
        <w:t xml:space="preserve">Returns and credit notes</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Qualifying Purchase Value shall be reduced by the value of all returns and credit notes raised during the Scheme Period, irrespective of the period of the original supply.</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Near a slab threshold, netting does not merely reduce the base — it can drop it into a lower slab, so the rate falls on the entire base. State whether prior-period returns count.</w:t>
      </w:r>
    </w:p>
    <w:p>
      <w:pPr>
        <w:spacing w:after="60" w:before="160"/>
      </w:pPr>
      <w:r>
        <w:rPr>
          <w:rFonts w:ascii="Calibri" w:cs="Calibri" w:eastAsia="Calibri" w:hAnsi="Calibri"/>
          <w:b/>
          <w:bCs/>
          <w:color w:val="0F766E"/>
          <w:sz w:val="20"/>
          <w:szCs w:val="20"/>
        </w:rPr>
        <w:t xml:space="preserve">3.5  </w:t>
      </w:r>
      <w:r>
        <w:rPr>
          <w:rFonts w:ascii="Calibri" w:cs="Calibri" w:eastAsia="Calibri" w:hAnsi="Calibri"/>
          <w:b/>
          <w:bCs/>
          <w:color w:val="0F766E"/>
          <w:sz w:val="20"/>
          <w:szCs w:val="20"/>
        </w:rPr>
        <w:t xml:space="preserve">Amendment</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Any amendment to this Agreement, including any revision to rates, slabs, Qualifying Products or Scheme Period, shall be notified in writing not less than [15] days before its effective date and shall apply prospectively only.</w:t>
      </w:r>
    </w:p>
    <w:p>
      <w:pPr>
        <w:spacing w:after="80"/>
        <w:ind w:left="460"/>
      </w:pPr>
      <w:r>
        <w:rPr>
          <w:rFonts w:ascii="Calibri" w:cs="Calibri" w:eastAsia="Calibri" w:hAnsi="Calibri"/>
          <w:sz w:val="20"/>
          <w:szCs w:val="20"/>
        </w:rPr>
        <w:t xml:space="preserve">Transactions occurring before the effective date of an amendment shall be computed on the terms in force at the time of the transaction.</w:t>
      </w:r>
    </w:p>
    <w:p>
      <w:pPr>
        <w:spacing w:after="80"/>
        <w:ind w:left="460"/>
      </w:pPr>
      <w:r>
        <w:rPr>
          <w:rFonts w:ascii="Calibri" w:cs="Calibri" w:eastAsia="Calibri" w:hAnsi="Calibri"/>
          <w:sz w:val="20"/>
          <w:szCs w:val="20"/>
        </w:rPr>
        <w:t xml:space="preserve">Each amendment shall carry a version number and an effective date, and the Company shall maintain and provide on request the version history of this Agreement.</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This clause prevents the most common finding in rebate audits — that the version of the agreement live on a transaction date cannot be produced. Without it, a mid-period revision silently reprices work already done.</w:t>
      </w:r>
    </w:p>
    <w:p>
      <w:pPr>
        <w:spacing w:after="60" w:before="160"/>
      </w:pPr>
      <w:r>
        <w:rPr>
          <w:rFonts w:ascii="Calibri" w:cs="Calibri" w:eastAsia="Calibri" w:hAnsi="Calibri"/>
          <w:b/>
          <w:bCs/>
          <w:color w:val="0F766E"/>
          <w:sz w:val="20"/>
          <w:szCs w:val="20"/>
        </w:rPr>
        <w:t xml:space="preserve">3.6  </w:t>
      </w:r>
      <w:r>
        <w:rPr>
          <w:rFonts w:ascii="Calibri" w:cs="Calibri" w:eastAsia="Calibri" w:hAnsi="Calibri"/>
          <w:b/>
          <w:bCs/>
          <w:color w:val="0F766E"/>
          <w:sz w:val="20"/>
          <w:szCs w:val="20"/>
        </w:rPr>
        <w:t xml:space="preserve">Claim window</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Claims shall be submitted within [60] days of the end of the Scheme Period.</w:t>
      </w:r>
    </w:p>
    <w:p>
      <w:pPr>
        <w:spacing w:after="80"/>
        <w:ind w:left="460"/>
      </w:pPr>
      <w:r>
        <w:rPr>
          <w:rFonts w:ascii="Calibri" w:cs="Calibri" w:eastAsia="Calibri" w:hAnsi="Calibri"/>
          <w:sz w:val="20"/>
          <w:szCs w:val="20"/>
        </w:rPr>
        <w:t xml:space="preserve">Submission is complete on receipt of the Company's written acknowledgement, which the Company shall issue within [2] working days of receiving a claim.</w:t>
      </w:r>
    </w:p>
    <w:p>
      <w:pPr>
        <w:spacing w:after="80"/>
        <w:ind w:left="460"/>
      </w:pPr>
      <w:r>
        <w:rPr>
          <w:rFonts w:ascii="Calibri" w:cs="Calibri" w:eastAsia="Calibri" w:hAnsi="Calibri"/>
          <w:sz w:val="20"/>
          <w:szCs w:val="20"/>
        </w:rPr>
        <w:t xml:space="preserve">Where the Company raises a query on a claim, the claim window shall be extended by the number of days between the query and the Distributor's response.</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The second sentence is the one to negotiate. A window measured to acknowledgement, with no obligation on the Company to acknowledge, is a window the Company controls. A missed window has no recovery route.</w:t>
      </w:r>
    </w:p>
    <w:p>
      <w:pPr>
        <w:pStyle w:val="Heading2"/>
        <w:spacing w:after="120" w:before="220"/>
      </w:pPr>
      <w:r>
        <w:t xml:space="preserve">4  Settlement</w:t>
      </w:r>
    </w:p>
    <w:p>
      <w:pPr>
        <w:spacing w:after="60" w:before="160"/>
      </w:pPr>
      <w:r>
        <w:rPr>
          <w:rFonts w:ascii="Calibri" w:cs="Calibri" w:eastAsia="Calibri" w:hAnsi="Calibri"/>
          <w:b/>
          <w:bCs/>
          <w:color w:val="000000"/>
          <w:sz w:val="20"/>
          <w:szCs w:val="20"/>
        </w:rPr>
        <w:t xml:space="preserve">4.1  </w:t>
      </w:r>
      <w:r>
        <w:rPr>
          <w:rFonts w:ascii="Calibri" w:cs="Calibri" w:eastAsia="Calibri" w:hAnsi="Calibri"/>
          <w:b/>
          <w:bCs/>
          <w:color w:val="000000"/>
          <w:sz w:val="20"/>
          <w:szCs w:val="20"/>
        </w:rPr>
        <w:t xml:space="preserve">Method and timing</w:t>
      </w:r>
    </w:p>
    <w:p>
      <w:pPr>
        <w:spacing w:after="80"/>
        <w:ind w:left="460"/>
      </w:pPr>
      <w:r>
        <w:rPr>
          <w:rFonts w:ascii="Calibri" w:cs="Calibri" w:eastAsia="Calibri" w:hAnsi="Calibri"/>
          <w:sz w:val="20"/>
          <w:szCs w:val="20"/>
        </w:rPr>
        <w:t xml:space="preserve">The Company shall settle approved claims within [30] days of approval by way of credit note.</w:t>
      </w:r>
    </w:p>
    <w:p>
      <w:pPr>
        <w:spacing w:after="80"/>
        <w:ind w:left="460"/>
      </w:pPr>
      <w:r>
        <w:rPr>
          <w:rFonts w:ascii="Calibri" w:cs="Calibri" w:eastAsia="Calibri" w:hAnsi="Calibri"/>
          <w:sz w:val="20"/>
          <w:szCs w:val="20"/>
        </w:rPr>
        <w:t xml:space="preserve">The Company shall validate a claim and either approve it or raise a query within [15] working days of acknowledgement.</w:t>
      </w:r>
    </w:p>
    <w:p>
      <w:pPr>
        <w:spacing w:after="60" w:before="160"/>
      </w:pPr>
      <w:r>
        <w:rPr>
          <w:rFonts w:ascii="Calibri" w:cs="Calibri" w:eastAsia="Calibri" w:hAnsi="Calibri"/>
          <w:b/>
          <w:bCs/>
          <w:color w:val="0F766E"/>
          <w:sz w:val="20"/>
          <w:szCs w:val="20"/>
        </w:rPr>
        <w:t xml:space="preserve">4.2  </w:t>
      </w:r>
      <w:r>
        <w:rPr>
          <w:rFonts w:ascii="Calibri" w:cs="Calibri" w:eastAsia="Calibri" w:hAnsi="Calibri"/>
          <w:b/>
          <w:bCs/>
          <w:color w:val="0F766E"/>
          <w:sz w:val="20"/>
          <w:szCs w:val="20"/>
        </w:rPr>
        <w:t xml:space="preserve">Settlement document reference</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Every credit note issued in settlement shall state the Scheme reference, the Scheme Period and the claim number to which it relates.</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Not a statutory requirement and the highest-leverage clause in the document. A credit note naming only an amount and a date cannot be reconciled, so the claim stays open and may be chased again.</w:t>
      </w:r>
    </w:p>
    <w:p>
      <w:pPr>
        <w:spacing w:after="60" w:before="160"/>
      </w:pPr>
      <w:r>
        <w:rPr>
          <w:rFonts w:ascii="Calibri" w:cs="Calibri" w:eastAsia="Calibri" w:hAnsi="Calibri"/>
          <w:b/>
          <w:bCs/>
          <w:color w:val="000000"/>
          <w:sz w:val="20"/>
          <w:szCs w:val="20"/>
        </w:rPr>
        <w:t xml:space="preserve">4.3  </w:t>
      </w:r>
      <w:r>
        <w:rPr>
          <w:rFonts w:ascii="Calibri" w:cs="Calibri" w:eastAsia="Calibri" w:hAnsi="Calibri"/>
          <w:b/>
          <w:bCs/>
          <w:color w:val="000000"/>
          <w:sz w:val="20"/>
          <w:szCs w:val="20"/>
        </w:rPr>
        <w:t xml:space="preserve">Tax treatment</w:t>
      </w:r>
    </w:p>
    <w:p>
      <w:pPr>
        <w:spacing w:after="80"/>
        <w:ind w:left="460"/>
      </w:pPr>
      <w:r>
        <w:rPr>
          <w:rFonts w:ascii="Calibri" w:cs="Calibri" w:eastAsia="Calibri" w:hAnsi="Calibri"/>
          <w:sz w:val="20"/>
          <w:szCs w:val="20"/>
        </w:rPr>
        <w:t xml:space="preserve">The parties shall agree at the outset whether settlement is to be made by tax credit note or by commercial credit note, and shall record that election in Schedule A.</w:t>
      </w:r>
    </w:p>
    <w:p>
      <w:pPr>
        <w:spacing w:after="80"/>
        <w:ind w:left="460"/>
      </w:pPr>
      <w:r>
        <w:rPr>
          <w:rFonts w:ascii="Calibri" w:cs="Calibri" w:eastAsia="Calibri" w:hAnsi="Calibri"/>
          <w:sz w:val="20"/>
          <w:szCs w:val="20"/>
        </w:rPr>
        <w:t xml:space="preserve">Where settlement is by tax credit note, the Distributor shall reverse the input tax credit attributable to the discount in accordance with applicable law, and shall confirm such reversal to the Company on request.</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Tax positions change. The Finance Act 2026 amends Section 15(3)(b) and Section 34 in respect of post-supply discounts; those amendments had not commenced at the time this template was prepared. Confirm the position in force with a tax advisor before relying on this clause.</w:t>
      </w:r>
    </w:p>
    <w:p>
      <w:pPr>
        <w:pStyle w:val="Heading2"/>
        <w:spacing w:after="120" w:before="220"/>
      </w:pPr>
      <w:r>
        <w:t xml:space="preserve">5  Records, disputes and termination</w:t>
      </w:r>
    </w:p>
    <w:p>
      <w:pPr>
        <w:spacing w:after="60" w:before="160"/>
      </w:pPr>
      <w:r>
        <w:rPr>
          <w:rFonts w:ascii="Calibri" w:cs="Calibri" w:eastAsia="Calibri" w:hAnsi="Calibri"/>
          <w:b/>
          <w:bCs/>
          <w:color w:val="000000"/>
          <w:sz w:val="20"/>
          <w:szCs w:val="20"/>
        </w:rPr>
        <w:t xml:space="preserve">5.1  </w:t>
      </w:r>
      <w:r>
        <w:rPr>
          <w:rFonts w:ascii="Calibri" w:cs="Calibri" w:eastAsia="Calibri" w:hAnsi="Calibri"/>
          <w:b/>
          <w:bCs/>
          <w:color w:val="000000"/>
          <w:sz w:val="20"/>
          <w:szCs w:val="20"/>
        </w:rPr>
        <w:t xml:space="preserve">Reconciliation</w:t>
      </w:r>
    </w:p>
    <w:p>
      <w:pPr>
        <w:spacing w:after="80"/>
        <w:ind w:left="460"/>
      </w:pPr>
      <w:r>
        <w:rPr>
          <w:rFonts w:ascii="Calibri" w:cs="Calibri" w:eastAsia="Calibri" w:hAnsi="Calibri"/>
          <w:sz w:val="20"/>
          <w:szCs w:val="20"/>
        </w:rPr>
        <w:t xml:space="preserve">Where a claim is settled for less than the amount claimed, the Company shall provide a line-level reconciliation identifying the specific transactions and the reason for each difference.</w:t>
      </w:r>
    </w:p>
    <w:p>
      <w:pPr>
        <w:spacing w:after="80"/>
        <w:ind w:left="460"/>
      </w:pPr>
      <w:r>
        <w:rPr>
          <w:rFonts w:ascii="Calibri" w:cs="Calibri" w:eastAsia="Calibri" w:hAnsi="Calibri"/>
          <w:sz w:val="20"/>
          <w:szCs w:val="20"/>
        </w:rPr>
        <w:t xml:space="preserve">The Distributor shall raise any dispute within [30] days of receiving the settlement, identifying the specific invoices and the clause relied upon.</w:t>
      </w:r>
    </w:p>
    <w:p>
      <w:pPr>
        <w:spacing w:after="60" w:before="160"/>
      </w:pPr>
      <w:r>
        <w:rPr>
          <w:rFonts w:ascii="Calibri" w:cs="Calibri" w:eastAsia="Calibri" w:hAnsi="Calibri"/>
          <w:b/>
          <w:bCs/>
          <w:color w:val="000000"/>
          <w:sz w:val="20"/>
          <w:szCs w:val="20"/>
        </w:rPr>
        <w:t xml:space="preserve">5.2  </w:t>
      </w:r>
      <w:r>
        <w:rPr>
          <w:rFonts w:ascii="Calibri" w:cs="Calibri" w:eastAsia="Calibri" w:hAnsi="Calibri"/>
          <w:b/>
          <w:bCs/>
          <w:color w:val="000000"/>
          <w:sz w:val="20"/>
          <w:szCs w:val="20"/>
        </w:rPr>
        <w:t xml:space="preserve">Records</w:t>
      </w:r>
    </w:p>
    <w:p>
      <w:pPr>
        <w:spacing w:after="80"/>
        <w:ind w:left="460"/>
      </w:pPr>
      <w:r>
        <w:rPr>
          <w:rFonts w:ascii="Calibri" w:cs="Calibri" w:eastAsia="Calibri" w:hAnsi="Calibri"/>
          <w:sz w:val="20"/>
          <w:szCs w:val="20"/>
        </w:rPr>
        <w:t xml:space="preserve">Each party shall retain the Agreement and all amendments, claims, evidence, acknowledgements and settlement documents for the period required by applicable law.</w:t>
      </w:r>
    </w:p>
    <w:p>
      <w:pPr>
        <w:spacing w:after="80"/>
        <w:ind w:left="460"/>
      </w:pPr>
      <w:r>
        <w:rPr>
          <w:rFonts w:ascii="Calibri" w:cs="Calibri" w:eastAsia="Calibri" w:hAnsi="Calibri"/>
          <w:sz w:val="20"/>
          <w:szCs w:val="20"/>
        </w:rPr>
        <w:t xml:space="preserve">The Company shall on request provide the version of the Agreement in force on any specified date.</w:t>
      </w:r>
    </w:p>
    <w:p>
      <w:pPr>
        <w:spacing w:after="60" w:before="160"/>
      </w:pPr>
      <w:r>
        <w:rPr>
          <w:rFonts w:ascii="Calibri" w:cs="Calibri" w:eastAsia="Calibri" w:hAnsi="Calibri"/>
          <w:b/>
          <w:bCs/>
          <w:color w:val="0F766E"/>
          <w:sz w:val="20"/>
          <w:szCs w:val="20"/>
        </w:rPr>
        <w:t xml:space="preserve">5.3  </w:t>
      </w:r>
      <w:r>
        <w:rPr>
          <w:rFonts w:ascii="Calibri" w:cs="Calibri" w:eastAsia="Calibri" w:hAnsi="Calibri"/>
          <w:b/>
          <w:bCs/>
          <w:color w:val="0F766E"/>
          <w:sz w:val="20"/>
          <w:szCs w:val="20"/>
        </w:rPr>
        <w:t xml:space="preserve">Termination and survival</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On termination of this Agreement, entitlement accrued to the date of termination shall be payable on a pro rata basis.</w:t>
      </w:r>
    </w:p>
    <w:p>
      <w:pPr>
        <w:spacing w:after="80"/>
        <w:ind w:left="460"/>
      </w:pPr>
      <w:r>
        <w:rPr>
          <w:rFonts w:ascii="Calibri" w:cs="Calibri" w:eastAsia="Calibri" w:hAnsi="Calibri"/>
          <w:sz w:val="20"/>
          <w:szCs w:val="20"/>
        </w:rPr>
        <w:t xml:space="preserve">The claim window in respect of any completed Scheme Period shall survive termination.</w:t>
      </w:r>
    </w:p>
    <w:p>
      <w:pPr>
        <w:spacing w:after="80"/>
        <w:ind w:left="460"/>
      </w:pPr>
      <w:r>
        <w:rPr>
          <w:rFonts w:ascii="Calibri" w:cs="Calibri" w:eastAsia="Calibri" w:hAnsi="Calibri"/>
          <w:sz w:val="20"/>
          <w:szCs w:val="20"/>
        </w:rPr>
        <w:t xml:space="preserve">The Company shall give not less than [30] days' written notice of termination or non-renewal.</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Usually absent, and it decides what happens to money already earned — and to stock bought to reach a threshold that is now unreachable.</w:t>
      </w:r>
    </w:p>
    <w:p>
      <w:pPr>
        <w:spacing w:after="160" w:before="0"/>
      </w:pPr>
      <w:r>
        <w:rPr>
          <w:rFonts w:ascii="Calibri" w:cs="Calibri" w:eastAsia="Calibri" w:hAnsi="Calibri"/>
          <w:sz w:val="20"/>
          <w:szCs w:val="20"/>
        </w:rPr>
        <w:t xml:space="preserve"/>
      </w:r>
    </w:p>
    <w:p>
      <w:pPr>
        <w:pStyle w:val="Heading2"/>
        <w:spacing w:after="120" w:before="220"/>
      </w:pPr>
      <w:r>
        <w:t xml:space="preserve">Annexure 1 — Qualifying Products</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1700"/>
        <w:gridCol w:w="3200"/>
        <w:gridCol w:w="1200"/>
        <w:gridCol w:w="1250"/>
        <w:gridCol w:w="1250"/>
      </w:tblGrid>
      <w:tr>
        <w:trPr>
          <w:tblHeader/>
        </w:trPr>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SKU code</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Description</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Pack</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Qualifying from</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Qualifying to</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bl>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Give this annexure a version number and date. Qualifying product lists are revised more often than any other term, usually without one — which makes the claim unverifiable after the fact.</w:t>
      </w:r>
    </w:p>
    <w:p>
      <w:pPr>
        <w:spacing w:after="160" w:before="0"/>
      </w:pPr>
      <w:r>
        <w:rPr>
          <w:rFonts w:ascii="Calibri" w:cs="Calibri" w:eastAsia="Calibri" w:hAnsi="Calibri"/>
          <w:sz w:val="20"/>
          <w:szCs w:val="20"/>
        </w:rPr>
        <w:t xml:space="preserve"/>
      </w:r>
    </w:p>
    <w:p>
      <w:pPr>
        <w:pStyle w:val="Heading3"/>
        <w:spacing w:after="100" w:before="180"/>
      </w:pPr>
      <w:r>
        <w:t xml:space="preserve">Execution</w:t>
      </w:r>
    </w:p>
    <w:p>
      <w:pPr>
        <w:spacing w:after="200" w:before="0"/>
      </w:pPr>
      <w:r>
        <w:rPr>
          <w:rFonts w:ascii="Calibri" w:cs="Calibri" w:eastAsia="Calibri" w:hAnsi="Calibri"/>
          <w:sz w:val="20"/>
          <w:szCs w:val="20"/>
        </w:rPr>
        <w:t xml:space="preserve">Signed for and on behalf of the parties by their duly authorised representatives.</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1400"/>
        <w:gridCol w:w="3600"/>
        <w:gridCol w:w="3600"/>
      </w:tblGrid>
      <w:tr>
        <w:trPr>
          <w:tblHeader/>
        </w:trPr>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Supplier / Company</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Distributor / Dealer</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Name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Designation</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Signature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Date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Company seal</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bl>
    <w:p>
      <w:pPr>
        <w:spacing w:after="120" w:before="0"/>
      </w:pPr>
      <w:r>
        <w:rPr>
          <w:rFonts w:ascii="Calibri" w:cs="Calibri" w:eastAsia="Calibri" w:hAnsi="Calibri"/>
          <w:sz w:val="20"/>
          <w:szCs w:val="20"/>
        </w:rPr>
        <w:t xml:space="preserve"/>
      </w:r>
    </w:p>
    <w:p>
      <w:r>
        <w:br w:type="page"/>
      </w:r>
    </w:p>
    <w:p>
      <w:pPr>
        <w:pStyle w:val="Heading1"/>
        <w:spacing w:after="160" w:before="240"/>
      </w:pPr>
      <w:r>
        <w:t xml:space="preserve">3.  Growth Incentive Agreement</w:t>
      </w:r>
    </w:p>
    <w:p>
      <w:pPr>
        <w:pBdr>
          <w:left w:val="single" w:color="0F766E" w:sz="12" w:space="8"/>
        </w:pBdr>
        <w:spacing w:after="200"/>
        <w:ind w:left="288"/>
      </w:pPr>
      <w:r>
        <w:rPr>
          <w:rFonts w:ascii="Calibri" w:cs="Calibri" w:eastAsia="Calibri" w:hAnsi="Calibri"/>
          <w:b/>
          <w:bCs/>
          <w:color w:val="0F766E"/>
          <w:sz w:val="17"/>
          <w:szCs w:val="17"/>
        </w:rPr>
        <w:t xml:space="preserve">WHEN TO USE  </w:t>
      </w:r>
      <w:r>
        <w:rPr>
          <w:rFonts w:ascii="Calibri" w:cs="Calibri" w:eastAsia="Calibri" w:hAnsi="Calibri"/>
          <w:i/>
          <w:iCs/>
          <w:sz w:val="19"/>
          <w:szCs w:val="19"/>
        </w:rPr>
        <w:t xml:space="preserve">Pays on the increase over a base period rather than on absolute volume. Fair in a growing market, and structurally harsh on a distributor coming off a strong base year.</w:t>
      </w:r>
    </w:p>
    <w:p>
      <w:pPr>
        <w:pStyle w:val="Heading2"/>
        <w:spacing w:after="120" w:before="220"/>
      </w:pPr>
      <w:r>
        <w:t xml:space="preserve">1  Scheme particulars</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2800"/>
        <w:gridCol w:w="5800"/>
      </w:tblGrid>
      <w:tr>
        <w:trPr>
          <w:tblHeader/>
        </w:trPr>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Field</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Detail</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Scheme reference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[GRW/____/____]</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Scheme Period</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[DD-MMM-YYYY] to [DD-MMM-YYYY]</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Base Period</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[DD-MMM-YYYY] to [DD-MMM-YYYY]</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Base Period value (agreed)</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₹[____]</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Basis</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Growth in Qualifying Purchase Value over the Base Period</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Claim window</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[60] days from Scheme Period end</w:t>
            </w:r>
          </w:p>
        </w:tc>
      </w:tr>
    </w:tbl>
    <w:p>
      <w:pPr>
        <w:pStyle w:val="Heading2"/>
        <w:spacing w:after="120" w:before="220"/>
      </w:pPr>
      <w:r>
        <w:t xml:space="preserve">2  Growth calculation</w:t>
      </w:r>
    </w:p>
    <w:p>
      <w:pPr>
        <w:spacing w:after="60" w:before="160"/>
      </w:pPr>
      <w:r>
        <w:rPr>
          <w:rFonts w:ascii="Calibri" w:cs="Calibri" w:eastAsia="Calibri" w:hAnsi="Calibri"/>
          <w:b/>
          <w:bCs/>
          <w:color w:val="000000"/>
          <w:sz w:val="20"/>
          <w:szCs w:val="20"/>
        </w:rPr>
        <w:t xml:space="preserve">2.1  </w:t>
      </w:r>
      <w:r>
        <w:rPr>
          <w:rFonts w:ascii="Calibri" w:cs="Calibri" w:eastAsia="Calibri" w:hAnsi="Calibri"/>
          <w:b/>
          <w:bCs/>
          <w:color w:val="000000"/>
          <w:sz w:val="20"/>
          <w:szCs w:val="20"/>
        </w:rPr>
        <w:t xml:space="preserve">Growth</w:t>
      </w:r>
    </w:p>
    <w:p>
      <w:pPr>
        <w:spacing w:after="80"/>
        <w:ind w:left="460"/>
      </w:pPr>
      <w:r>
        <w:rPr>
          <w:rFonts w:ascii="Calibri" w:cs="Calibri" w:eastAsia="Calibri" w:hAnsi="Calibri"/>
          <w:sz w:val="20"/>
          <w:szCs w:val="20"/>
        </w:rPr>
        <w:t xml:space="preserve">Growth means Qualifying Purchase Value for the Scheme Period less the agreed Base Period value stated in clause 1.</w:t>
      </w:r>
    </w:p>
    <w:p>
      <w:pPr>
        <w:spacing w:after="60" w:before="160"/>
      </w:pPr>
      <w:r>
        <w:rPr>
          <w:rFonts w:ascii="Calibri" w:cs="Calibri" w:eastAsia="Calibri" w:hAnsi="Calibri"/>
          <w:b/>
          <w:bCs/>
          <w:color w:val="0F766E"/>
          <w:sz w:val="20"/>
          <w:szCs w:val="20"/>
        </w:rPr>
        <w:t xml:space="preserve">2.2  </w:t>
      </w:r>
      <w:r>
        <w:rPr>
          <w:rFonts w:ascii="Calibri" w:cs="Calibri" w:eastAsia="Calibri" w:hAnsi="Calibri"/>
          <w:b/>
          <w:bCs/>
          <w:color w:val="0F766E"/>
          <w:sz w:val="20"/>
          <w:szCs w:val="20"/>
        </w:rPr>
        <w:t xml:space="preserve">Base Period value is fixed</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The Base Period value stated in clause 1 is agreed between the parties and shall not be restated during the Scheme Period.</w:t>
      </w:r>
    </w:p>
    <w:p>
      <w:pPr>
        <w:spacing w:after="80"/>
        <w:ind w:left="460"/>
      </w:pPr>
      <w:r>
        <w:rPr>
          <w:rFonts w:ascii="Calibri" w:cs="Calibri" w:eastAsia="Calibri" w:hAnsi="Calibri"/>
          <w:sz w:val="20"/>
          <w:szCs w:val="20"/>
        </w:rPr>
        <w:t xml:space="preserve">Where the Base Period value is subsequently found to be misstated, any correction shall be agreed in writing and shall apply prospectively.</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Growth schemes are frequently disputed because the base is recomputed after the period, on a different definition from the one used to set the target. Fixing the base as an agreed number at the outset removes the entire category of dispute.</w:t>
      </w:r>
    </w:p>
    <w:p>
      <w:pPr>
        <w:spacing w:after="60" w:before="160"/>
      </w:pPr>
      <w:r>
        <w:rPr>
          <w:rFonts w:ascii="Calibri" w:cs="Calibri" w:eastAsia="Calibri" w:hAnsi="Calibri"/>
          <w:b/>
          <w:bCs/>
          <w:color w:val="000000"/>
          <w:sz w:val="20"/>
          <w:szCs w:val="20"/>
        </w:rPr>
        <w:t xml:space="preserve">2.3  </w:t>
      </w:r>
      <w:r>
        <w:rPr>
          <w:rFonts w:ascii="Calibri" w:cs="Calibri" w:eastAsia="Calibri" w:hAnsi="Calibri"/>
          <w:b/>
          <w:bCs/>
          <w:color w:val="000000"/>
          <w:sz w:val="20"/>
          <w:szCs w:val="20"/>
        </w:rPr>
        <w:t xml:space="preserve">Base comparability</w:t>
      </w:r>
    </w:p>
    <w:p>
      <w:pPr>
        <w:spacing w:after="80"/>
        <w:ind w:left="460"/>
      </w:pPr>
      <w:r>
        <w:rPr>
          <w:rFonts w:ascii="Calibri" w:cs="Calibri" w:eastAsia="Calibri" w:hAnsi="Calibri"/>
          <w:sz w:val="20"/>
          <w:szCs w:val="20"/>
        </w:rPr>
        <w:t xml:space="preserve">Where Qualifying Products, entities or territory change between the Base Period and the Scheme Period, the Base Period value shall be adjusted on a like-for-like basis, and the adjustment agreed in writing before the Scheme Period commences.</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Without this clause, a range expansion or territory change makes the comparison meaningless and the argument unresolvable.</w:t>
      </w:r>
    </w:p>
    <w:p>
      <w:pPr>
        <w:pStyle w:val="Heading2"/>
        <w:spacing w:after="120" w:before="220"/>
      </w:pPr>
      <w:r>
        <w:t xml:space="preserve">3  Rate table</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2900"/>
        <w:gridCol w:w="2800"/>
        <w:gridCol w:w="2900"/>
      </w:tblGrid>
      <w:tr>
        <w:trPr>
          <w:tblHeader/>
        </w:trPr>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Growth achieved</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Rate on growth</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Rate on total (if applicable)</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[____]% to [____]%</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[____]%</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[____]%</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[____]% to [____]%</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[____]%</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[____]%</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Above [____]%</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[____]%</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[____]%</w:t>
            </w:r>
          </w:p>
        </w:tc>
      </w:tr>
    </w:tbl>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Decide whether the incentive is paid on the growth amount only, or on total volume once a growth percentage is achieved. These are very different instruments and the circular usually shows only one column.</w:t>
      </w:r>
    </w:p>
    <w:p>
      <w:pPr>
        <w:pStyle w:val="Heading2"/>
        <w:spacing w:after="120" w:before="220"/>
      </w:pPr>
      <w:r>
        <w:t xml:space="preserve">4  Standard terms</w:t>
      </w:r>
    </w:p>
    <w:p>
      <w:pPr>
        <w:spacing w:after="60" w:before="160"/>
      </w:pPr>
      <w:r>
        <w:rPr>
          <w:rFonts w:ascii="Calibri" w:cs="Calibri" w:eastAsia="Calibri" w:hAnsi="Calibri"/>
          <w:b/>
          <w:bCs/>
          <w:color w:val="0F766E"/>
          <w:sz w:val="20"/>
          <w:szCs w:val="20"/>
        </w:rPr>
        <w:t xml:space="preserve">4.1  </w:t>
      </w:r>
      <w:r>
        <w:rPr>
          <w:rFonts w:ascii="Calibri" w:cs="Calibri" w:eastAsia="Calibri" w:hAnsi="Calibri"/>
          <w:b/>
          <w:bCs/>
          <w:color w:val="0F766E"/>
          <w:sz w:val="20"/>
          <w:szCs w:val="20"/>
        </w:rPr>
        <w:t xml:space="preserve">Calculation basis</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[OPTION A — WHOLE-VOLUME] The rate corresponding to the highest slab achieved shall apply to the entire Qualifying Purchase Value for the Scheme Period.</w:t>
      </w:r>
    </w:p>
    <w:p>
      <w:pPr>
        <w:spacing w:after="80"/>
        <w:ind w:left="460"/>
      </w:pPr>
      <w:r>
        <w:rPr>
          <w:rFonts w:ascii="Calibri" w:cs="Calibri" w:eastAsia="Calibri" w:hAnsi="Calibri"/>
          <w:sz w:val="20"/>
          <w:szCs w:val="20"/>
        </w:rPr>
        <w:t xml:space="preserve">[OPTION B — STEPPED] Each rate shall apply only to that portion of the Qualifying Purchase Value falling within its respective slab.</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Delete the option that does not apply. Leaving both, or leaving the basis unstated, is the single largest source of rebate disputes — on the same volume and slab table the two readings can differ by more than half the entitlement.</w:t>
      </w:r>
    </w:p>
    <w:p>
      <w:pPr>
        <w:spacing w:after="60" w:before="160"/>
      </w:pPr>
      <w:r>
        <w:rPr>
          <w:rFonts w:ascii="Calibri" w:cs="Calibri" w:eastAsia="Calibri" w:hAnsi="Calibri"/>
          <w:b/>
          <w:bCs/>
          <w:color w:val="0F766E"/>
          <w:sz w:val="20"/>
          <w:szCs w:val="20"/>
        </w:rPr>
        <w:t xml:space="preserve">4.2  </w:t>
      </w:r>
      <w:r>
        <w:rPr>
          <w:rFonts w:ascii="Calibri" w:cs="Calibri" w:eastAsia="Calibri" w:hAnsi="Calibri"/>
          <w:b/>
          <w:bCs/>
          <w:color w:val="0F766E"/>
          <w:sz w:val="20"/>
          <w:szCs w:val="20"/>
        </w:rPr>
        <w:t xml:space="preserve">Qualifying Purchase Value</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Qualifying Purchase Value means the net invoice value of Qualifying Products purchased by the Distributor from the Company during the Scheme Period, exclusive of GST, freight and insurance, after deduction of any on-invoice discount, and excluding any free-of-cost quantities.</w:t>
      </w:r>
    </w:p>
    <w:p>
      <w:pPr>
        <w:spacing w:after="80"/>
        <w:ind w:left="460"/>
      </w:pPr>
      <w:r>
        <w:rPr>
          <w:rFonts w:ascii="Calibri" w:cs="Calibri" w:eastAsia="Calibri" w:hAnsi="Calibri"/>
          <w:sz w:val="20"/>
          <w:szCs w:val="20"/>
        </w:rPr>
        <w:t xml:space="preserve">Purchases made by any entity other than those listed in Schedule A shall not count toward Qualifying Purchase Value.</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'Purchases' is not self-defining. Two parties computing honestly from identical invoices can differ by several percent on GST, freight, on-invoice discount and free goods. Amend the exclusions to match what was actually agreed.</w:t>
      </w:r>
    </w:p>
    <w:p>
      <w:pPr>
        <w:spacing w:after="60" w:before="160"/>
      </w:pPr>
      <w:r>
        <w:rPr>
          <w:rFonts w:ascii="Calibri" w:cs="Calibri" w:eastAsia="Calibri" w:hAnsi="Calibri"/>
          <w:b/>
          <w:bCs/>
          <w:color w:val="0F766E"/>
          <w:sz w:val="20"/>
          <w:szCs w:val="20"/>
        </w:rPr>
        <w:t xml:space="preserve">4.3  </w:t>
      </w:r>
      <w:r>
        <w:rPr>
          <w:rFonts w:ascii="Calibri" w:cs="Calibri" w:eastAsia="Calibri" w:hAnsi="Calibri"/>
          <w:b/>
          <w:bCs/>
          <w:color w:val="0F766E"/>
          <w:sz w:val="20"/>
          <w:szCs w:val="20"/>
        </w:rPr>
        <w:t xml:space="preserve">Governing date</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A transaction falls within the Scheme Period where the tax invoice is dated within the Scheme Period, irrespective of the date of despatch or the date of receipt of goods.</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Replace 'tax invoice is dated' with despatch or receipt if that is what was agreed. Period-boundary transactions are where this dispute always occurs, and it recurs every period until the clause exists.</w:t>
      </w:r>
    </w:p>
    <w:p>
      <w:pPr>
        <w:spacing w:after="60" w:before="160"/>
      </w:pPr>
      <w:r>
        <w:rPr>
          <w:rFonts w:ascii="Calibri" w:cs="Calibri" w:eastAsia="Calibri" w:hAnsi="Calibri"/>
          <w:b/>
          <w:bCs/>
          <w:color w:val="0F766E"/>
          <w:sz w:val="20"/>
          <w:szCs w:val="20"/>
        </w:rPr>
        <w:t xml:space="preserve">4.4  </w:t>
      </w:r>
      <w:r>
        <w:rPr>
          <w:rFonts w:ascii="Calibri" w:cs="Calibri" w:eastAsia="Calibri" w:hAnsi="Calibri"/>
          <w:b/>
          <w:bCs/>
          <w:color w:val="0F766E"/>
          <w:sz w:val="20"/>
          <w:szCs w:val="20"/>
        </w:rPr>
        <w:t xml:space="preserve">Returns and credit notes</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Qualifying Purchase Value shall be reduced by the value of all returns and credit notes raised during the Scheme Period, irrespective of the period of the original supply.</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Near a slab threshold, netting does not merely reduce the base — it can drop it into a lower slab, so the rate falls on the entire base. State whether prior-period returns count.</w:t>
      </w:r>
    </w:p>
    <w:p>
      <w:pPr>
        <w:spacing w:after="60" w:before="160"/>
      </w:pPr>
      <w:r>
        <w:rPr>
          <w:rFonts w:ascii="Calibri" w:cs="Calibri" w:eastAsia="Calibri" w:hAnsi="Calibri"/>
          <w:b/>
          <w:bCs/>
          <w:color w:val="0F766E"/>
          <w:sz w:val="20"/>
          <w:szCs w:val="20"/>
        </w:rPr>
        <w:t xml:space="preserve">4.5  </w:t>
      </w:r>
      <w:r>
        <w:rPr>
          <w:rFonts w:ascii="Calibri" w:cs="Calibri" w:eastAsia="Calibri" w:hAnsi="Calibri"/>
          <w:b/>
          <w:bCs/>
          <w:color w:val="0F766E"/>
          <w:sz w:val="20"/>
          <w:szCs w:val="20"/>
        </w:rPr>
        <w:t xml:space="preserve">Amendment</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Any amendment to this Agreement, including any revision to rates, slabs, Qualifying Products or Scheme Period, shall be notified in writing not less than [15] days before its effective date and shall apply prospectively only.</w:t>
      </w:r>
    </w:p>
    <w:p>
      <w:pPr>
        <w:spacing w:after="80"/>
        <w:ind w:left="460"/>
      </w:pPr>
      <w:r>
        <w:rPr>
          <w:rFonts w:ascii="Calibri" w:cs="Calibri" w:eastAsia="Calibri" w:hAnsi="Calibri"/>
          <w:sz w:val="20"/>
          <w:szCs w:val="20"/>
        </w:rPr>
        <w:t xml:space="preserve">Transactions occurring before the effective date of an amendment shall be computed on the terms in force at the time of the transaction.</w:t>
      </w:r>
    </w:p>
    <w:p>
      <w:pPr>
        <w:spacing w:after="80"/>
        <w:ind w:left="460"/>
      </w:pPr>
      <w:r>
        <w:rPr>
          <w:rFonts w:ascii="Calibri" w:cs="Calibri" w:eastAsia="Calibri" w:hAnsi="Calibri"/>
          <w:sz w:val="20"/>
          <w:szCs w:val="20"/>
        </w:rPr>
        <w:t xml:space="preserve">Each amendment shall carry a version number and an effective date, and the Company shall maintain and provide on request the version history of this Agreement.</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This clause prevents the most common finding in rebate audits — that the version of the agreement live on a transaction date cannot be produced. Without it, a mid-period revision silently reprices work already done.</w:t>
      </w:r>
    </w:p>
    <w:p>
      <w:pPr>
        <w:spacing w:after="60" w:before="160"/>
      </w:pPr>
      <w:r>
        <w:rPr>
          <w:rFonts w:ascii="Calibri" w:cs="Calibri" w:eastAsia="Calibri" w:hAnsi="Calibri"/>
          <w:b/>
          <w:bCs/>
          <w:color w:val="0F766E"/>
          <w:sz w:val="20"/>
          <w:szCs w:val="20"/>
        </w:rPr>
        <w:t xml:space="preserve">4.6  </w:t>
      </w:r>
      <w:r>
        <w:rPr>
          <w:rFonts w:ascii="Calibri" w:cs="Calibri" w:eastAsia="Calibri" w:hAnsi="Calibri"/>
          <w:b/>
          <w:bCs/>
          <w:color w:val="0F766E"/>
          <w:sz w:val="20"/>
          <w:szCs w:val="20"/>
        </w:rPr>
        <w:t xml:space="preserve">Claim window</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Claims shall be submitted within [60] days of the end of the Scheme Period.</w:t>
      </w:r>
    </w:p>
    <w:p>
      <w:pPr>
        <w:spacing w:after="80"/>
        <w:ind w:left="460"/>
      </w:pPr>
      <w:r>
        <w:rPr>
          <w:rFonts w:ascii="Calibri" w:cs="Calibri" w:eastAsia="Calibri" w:hAnsi="Calibri"/>
          <w:sz w:val="20"/>
          <w:szCs w:val="20"/>
        </w:rPr>
        <w:t xml:space="preserve">Submission is complete on receipt of the Company's written acknowledgement, which the Company shall issue within [2] working days of receiving a claim.</w:t>
      </w:r>
    </w:p>
    <w:p>
      <w:pPr>
        <w:spacing w:after="80"/>
        <w:ind w:left="460"/>
      </w:pPr>
      <w:r>
        <w:rPr>
          <w:rFonts w:ascii="Calibri" w:cs="Calibri" w:eastAsia="Calibri" w:hAnsi="Calibri"/>
          <w:sz w:val="20"/>
          <w:szCs w:val="20"/>
        </w:rPr>
        <w:t xml:space="preserve">Where the Company raises a query on a claim, the claim window shall be extended by the number of days between the query and the Distributor's response.</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The second sentence is the one to negotiate. A window measured to acknowledgement, with no obligation on the Company to acknowledge, is a window the Company controls. A missed window has no recovery route.</w:t>
      </w:r>
    </w:p>
    <w:p>
      <w:pPr>
        <w:pStyle w:val="Heading2"/>
        <w:spacing w:after="120" w:before="220"/>
      </w:pPr>
      <w:r>
        <w:t xml:space="preserve">5  Settlement</w:t>
      </w:r>
    </w:p>
    <w:p>
      <w:pPr>
        <w:spacing w:after="60" w:before="160"/>
      </w:pPr>
      <w:r>
        <w:rPr>
          <w:rFonts w:ascii="Calibri" w:cs="Calibri" w:eastAsia="Calibri" w:hAnsi="Calibri"/>
          <w:b/>
          <w:bCs/>
          <w:color w:val="000000"/>
          <w:sz w:val="20"/>
          <w:szCs w:val="20"/>
        </w:rPr>
        <w:t xml:space="preserve">5.1  </w:t>
      </w:r>
      <w:r>
        <w:rPr>
          <w:rFonts w:ascii="Calibri" w:cs="Calibri" w:eastAsia="Calibri" w:hAnsi="Calibri"/>
          <w:b/>
          <w:bCs/>
          <w:color w:val="000000"/>
          <w:sz w:val="20"/>
          <w:szCs w:val="20"/>
        </w:rPr>
        <w:t xml:space="preserve">Method and timing</w:t>
      </w:r>
    </w:p>
    <w:p>
      <w:pPr>
        <w:spacing w:after="80"/>
        <w:ind w:left="460"/>
      </w:pPr>
      <w:r>
        <w:rPr>
          <w:rFonts w:ascii="Calibri" w:cs="Calibri" w:eastAsia="Calibri" w:hAnsi="Calibri"/>
          <w:sz w:val="20"/>
          <w:szCs w:val="20"/>
        </w:rPr>
        <w:t xml:space="preserve">The Company shall settle approved claims within [30] days of approval by way of credit note.</w:t>
      </w:r>
    </w:p>
    <w:p>
      <w:pPr>
        <w:spacing w:after="80"/>
        <w:ind w:left="460"/>
      </w:pPr>
      <w:r>
        <w:rPr>
          <w:rFonts w:ascii="Calibri" w:cs="Calibri" w:eastAsia="Calibri" w:hAnsi="Calibri"/>
          <w:sz w:val="20"/>
          <w:szCs w:val="20"/>
        </w:rPr>
        <w:t xml:space="preserve">The Company shall validate a claim and either approve it or raise a query within [15] working days of acknowledgement.</w:t>
      </w:r>
    </w:p>
    <w:p>
      <w:pPr>
        <w:spacing w:after="60" w:before="160"/>
      </w:pPr>
      <w:r>
        <w:rPr>
          <w:rFonts w:ascii="Calibri" w:cs="Calibri" w:eastAsia="Calibri" w:hAnsi="Calibri"/>
          <w:b/>
          <w:bCs/>
          <w:color w:val="0F766E"/>
          <w:sz w:val="20"/>
          <w:szCs w:val="20"/>
        </w:rPr>
        <w:t xml:space="preserve">5.2  </w:t>
      </w:r>
      <w:r>
        <w:rPr>
          <w:rFonts w:ascii="Calibri" w:cs="Calibri" w:eastAsia="Calibri" w:hAnsi="Calibri"/>
          <w:b/>
          <w:bCs/>
          <w:color w:val="0F766E"/>
          <w:sz w:val="20"/>
          <w:szCs w:val="20"/>
        </w:rPr>
        <w:t xml:space="preserve">Settlement document reference</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Every credit note issued in settlement shall state the Scheme reference, the Scheme Period and the claim number to which it relates.</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Not a statutory requirement and the highest-leverage clause in the document. A credit note naming only an amount and a date cannot be reconciled, so the claim stays open and may be chased again.</w:t>
      </w:r>
    </w:p>
    <w:p>
      <w:pPr>
        <w:spacing w:after="60" w:before="160"/>
      </w:pPr>
      <w:r>
        <w:rPr>
          <w:rFonts w:ascii="Calibri" w:cs="Calibri" w:eastAsia="Calibri" w:hAnsi="Calibri"/>
          <w:b/>
          <w:bCs/>
          <w:color w:val="000000"/>
          <w:sz w:val="20"/>
          <w:szCs w:val="20"/>
        </w:rPr>
        <w:t xml:space="preserve">5.3  </w:t>
      </w:r>
      <w:r>
        <w:rPr>
          <w:rFonts w:ascii="Calibri" w:cs="Calibri" w:eastAsia="Calibri" w:hAnsi="Calibri"/>
          <w:b/>
          <w:bCs/>
          <w:color w:val="000000"/>
          <w:sz w:val="20"/>
          <w:szCs w:val="20"/>
        </w:rPr>
        <w:t xml:space="preserve">Tax treatment</w:t>
      </w:r>
    </w:p>
    <w:p>
      <w:pPr>
        <w:spacing w:after="80"/>
        <w:ind w:left="460"/>
      </w:pPr>
      <w:r>
        <w:rPr>
          <w:rFonts w:ascii="Calibri" w:cs="Calibri" w:eastAsia="Calibri" w:hAnsi="Calibri"/>
          <w:sz w:val="20"/>
          <w:szCs w:val="20"/>
        </w:rPr>
        <w:t xml:space="preserve">The parties shall agree at the outset whether settlement is to be made by tax credit note or by commercial credit note, and shall record that election in Schedule A.</w:t>
      </w:r>
    </w:p>
    <w:p>
      <w:pPr>
        <w:spacing w:after="80"/>
        <w:ind w:left="460"/>
      </w:pPr>
      <w:r>
        <w:rPr>
          <w:rFonts w:ascii="Calibri" w:cs="Calibri" w:eastAsia="Calibri" w:hAnsi="Calibri"/>
          <w:sz w:val="20"/>
          <w:szCs w:val="20"/>
        </w:rPr>
        <w:t xml:space="preserve">Where settlement is by tax credit note, the Distributor shall reverse the input tax credit attributable to the discount in accordance with applicable law, and shall confirm such reversal to the Company on request.</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Tax positions change. The Finance Act 2026 amends Section 15(3)(b) and Section 34 in respect of post-supply discounts; those amendments had not commenced at the time this template was prepared. Confirm the position in force with a tax advisor before relying on this clause.</w:t>
      </w:r>
    </w:p>
    <w:p>
      <w:pPr>
        <w:pStyle w:val="Heading2"/>
        <w:spacing w:after="120" w:before="220"/>
      </w:pPr>
      <w:r>
        <w:t xml:space="preserve">6  Records, disputes and termination</w:t>
      </w:r>
    </w:p>
    <w:p>
      <w:pPr>
        <w:spacing w:after="60" w:before="160"/>
      </w:pPr>
      <w:r>
        <w:rPr>
          <w:rFonts w:ascii="Calibri" w:cs="Calibri" w:eastAsia="Calibri" w:hAnsi="Calibri"/>
          <w:b/>
          <w:bCs/>
          <w:color w:val="000000"/>
          <w:sz w:val="20"/>
          <w:szCs w:val="20"/>
        </w:rPr>
        <w:t xml:space="preserve">6.1  </w:t>
      </w:r>
      <w:r>
        <w:rPr>
          <w:rFonts w:ascii="Calibri" w:cs="Calibri" w:eastAsia="Calibri" w:hAnsi="Calibri"/>
          <w:b/>
          <w:bCs/>
          <w:color w:val="000000"/>
          <w:sz w:val="20"/>
          <w:szCs w:val="20"/>
        </w:rPr>
        <w:t xml:space="preserve">Reconciliation</w:t>
      </w:r>
    </w:p>
    <w:p>
      <w:pPr>
        <w:spacing w:after="80"/>
        <w:ind w:left="460"/>
      </w:pPr>
      <w:r>
        <w:rPr>
          <w:rFonts w:ascii="Calibri" w:cs="Calibri" w:eastAsia="Calibri" w:hAnsi="Calibri"/>
          <w:sz w:val="20"/>
          <w:szCs w:val="20"/>
        </w:rPr>
        <w:t xml:space="preserve">Where a claim is settled for less than the amount claimed, the Company shall provide a line-level reconciliation identifying the specific transactions and the reason for each difference.</w:t>
      </w:r>
    </w:p>
    <w:p>
      <w:pPr>
        <w:spacing w:after="80"/>
        <w:ind w:left="460"/>
      </w:pPr>
      <w:r>
        <w:rPr>
          <w:rFonts w:ascii="Calibri" w:cs="Calibri" w:eastAsia="Calibri" w:hAnsi="Calibri"/>
          <w:sz w:val="20"/>
          <w:szCs w:val="20"/>
        </w:rPr>
        <w:t xml:space="preserve">The Distributor shall raise any dispute within [30] days of receiving the settlement, identifying the specific invoices and the clause relied upon.</w:t>
      </w:r>
    </w:p>
    <w:p>
      <w:pPr>
        <w:spacing w:after="60" w:before="160"/>
      </w:pPr>
      <w:r>
        <w:rPr>
          <w:rFonts w:ascii="Calibri" w:cs="Calibri" w:eastAsia="Calibri" w:hAnsi="Calibri"/>
          <w:b/>
          <w:bCs/>
          <w:color w:val="000000"/>
          <w:sz w:val="20"/>
          <w:szCs w:val="20"/>
        </w:rPr>
        <w:t xml:space="preserve">6.2  </w:t>
      </w:r>
      <w:r>
        <w:rPr>
          <w:rFonts w:ascii="Calibri" w:cs="Calibri" w:eastAsia="Calibri" w:hAnsi="Calibri"/>
          <w:b/>
          <w:bCs/>
          <w:color w:val="000000"/>
          <w:sz w:val="20"/>
          <w:szCs w:val="20"/>
        </w:rPr>
        <w:t xml:space="preserve">Records</w:t>
      </w:r>
    </w:p>
    <w:p>
      <w:pPr>
        <w:spacing w:after="80"/>
        <w:ind w:left="460"/>
      </w:pPr>
      <w:r>
        <w:rPr>
          <w:rFonts w:ascii="Calibri" w:cs="Calibri" w:eastAsia="Calibri" w:hAnsi="Calibri"/>
          <w:sz w:val="20"/>
          <w:szCs w:val="20"/>
        </w:rPr>
        <w:t xml:space="preserve">Each party shall retain the Agreement and all amendments, claims, evidence, acknowledgements and settlement documents for the period required by applicable law.</w:t>
      </w:r>
    </w:p>
    <w:p>
      <w:pPr>
        <w:spacing w:after="80"/>
        <w:ind w:left="460"/>
      </w:pPr>
      <w:r>
        <w:rPr>
          <w:rFonts w:ascii="Calibri" w:cs="Calibri" w:eastAsia="Calibri" w:hAnsi="Calibri"/>
          <w:sz w:val="20"/>
          <w:szCs w:val="20"/>
        </w:rPr>
        <w:t xml:space="preserve">The Company shall on request provide the version of the Agreement in force on any specified date.</w:t>
      </w:r>
    </w:p>
    <w:p>
      <w:pPr>
        <w:spacing w:after="60" w:before="160"/>
      </w:pPr>
      <w:r>
        <w:rPr>
          <w:rFonts w:ascii="Calibri" w:cs="Calibri" w:eastAsia="Calibri" w:hAnsi="Calibri"/>
          <w:b/>
          <w:bCs/>
          <w:color w:val="0F766E"/>
          <w:sz w:val="20"/>
          <w:szCs w:val="20"/>
        </w:rPr>
        <w:t xml:space="preserve">6.3  </w:t>
      </w:r>
      <w:r>
        <w:rPr>
          <w:rFonts w:ascii="Calibri" w:cs="Calibri" w:eastAsia="Calibri" w:hAnsi="Calibri"/>
          <w:b/>
          <w:bCs/>
          <w:color w:val="0F766E"/>
          <w:sz w:val="20"/>
          <w:szCs w:val="20"/>
        </w:rPr>
        <w:t xml:space="preserve">Termination and survival</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On termination of this Agreement, entitlement accrued to the date of termination shall be payable on a pro rata basis.</w:t>
      </w:r>
    </w:p>
    <w:p>
      <w:pPr>
        <w:spacing w:after="80"/>
        <w:ind w:left="460"/>
      </w:pPr>
      <w:r>
        <w:rPr>
          <w:rFonts w:ascii="Calibri" w:cs="Calibri" w:eastAsia="Calibri" w:hAnsi="Calibri"/>
          <w:sz w:val="20"/>
          <w:szCs w:val="20"/>
        </w:rPr>
        <w:t xml:space="preserve">The claim window in respect of any completed Scheme Period shall survive termination.</w:t>
      </w:r>
    </w:p>
    <w:p>
      <w:pPr>
        <w:spacing w:after="80"/>
        <w:ind w:left="460"/>
      </w:pPr>
      <w:r>
        <w:rPr>
          <w:rFonts w:ascii="Calibri" w:cs="Calibri" w:eastAsia="Calibri" w:hAnsi="Calibri"/>
          <w:sz w:val="20"/>
          <w:szCs w:val="20"/>
        </w:rPr>
        <w:t xml:space="preserve">The Company shall give not less than [30] days' written notice of termination or non-renewal.</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Usually absent, and it decides what happens to money already earned — and to stock bought to reach a threshold that is now unreachable.</w:t>
      </w:r>
    </w:p>
    <w:p>
      <w:pPr>
        <w:spacing w:after="160" w:before="0"/>
      </w:pPr>
      <w:r>
        <w:rPr>
          <w:rFonts w:ascii="Calibri" w:cs="Calibri" w:eastAsia="Calibri" w:hAnsi="Calibri"/>
          <w:sz w:val="20"/>
          <w:szCs w:val="20"/>
        </w:rPr>
        <w:t xml:space="preserve"/>
      </w:r>
    </w:p>
    <w:p>
      <w:pPr>
        <w:pStyle w:val="Heading3"/>
        <w:spacing w:after="100" w:before="180"/>
      </w:pPr>
      <w:r>
        <w:t xml:space="preserve">Execution</w:t>
      </w:r>
    </w:p>
    <w:p>
      <w:pPr>
        <w:spacing w:after="200" w:before="0"/>
      </w:pPr>
      <w:r>
        <w:rPr>
          <w:rFonts w:ascii="Calibri" w:cs="Calibri" w:eastAsia="Calibri" w:hAnsi="Calibri"/>
          <w:sz w:val="20"/>
          <w:szCs w:val="20"/>
        </w:rPr>
        <w:t xml:space="preserve">Signed for and on behalf of the parties by their duly authorised representatives.</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1400"/>
        <w:gridCol w:w="3600"/>
        <w:gridCol w:w="3600"/>
      </w:tblGrid>
      <w:tr>
        <w:trPr>
          <w:tblHeader/>
        </w:trPr>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Supplier / Company</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Distributor / Dealer</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Name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Designation</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Signature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Date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Company seal</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bl>
    <w:p>
      <w:pPr>
        <w:spacing w:after="120" w:before="0"/>
      </w:pPr>
      <w:r>
        <w:rPr>
          <w:rFonts w:ascii="Calibri" w:cs="Calibri" w:eastAsia="Calibri" w:hAnsi="Calibri"/>
          <w:sz w:val="20"/>
          <w:szCs w:val="20"/>
        </w:rPr>
        <w:t xml:space="preserve"/>
      </w:r>
    </w:p>
    <w:p>
      <w:r>
        <w:br w:type="page"/>
      </w:r>
    </w:p>
    <w:p>
      <w:pPr>
        <w:pStyle w:val="Heading1"/>
        <w:spacing w:after="160" w:before="240"/>
      </w:pPr>
      <w:r>
        <w:t xml:space="preserve">4.  Quantity Purchase Scheme (QPS) Circular</w:t>
      </w:r>
    </w:p>
    <w:p>
      <w:pPr>
        <w:pBdr>
          <w:left w:val="single" w:color="0F766E" w:sz="12" w:space="8"/>
        </w:pBdr>
        <w:spacing w:after="200"/>
        <w:ind w:left="288"/>
      </w:pPr>
      <w:r>
        <w:rPr>
          <w:rFonts w:ascii="Calibri" w:cs="Calibri" w:eastAsia="Calibri" w:hAnsi="Calibri"/>
          <w:b/>
          <w:bCs/>
          <w:color w:val="0F766E"/>
          <w:sz w:val="17"/>
          <w:szCs w:val="17"/>
        </w:rPr>
        <w:t xml:space="preserve">WHEN TO USE  </w:t>
      </w:r>
      <w:r>
        <w:rPr>
          <w:rFonts w:ascii="Calibri" w:cs="Calibri" w:eastAsia="Calibri" w:hAnsi="Calibri"/>
          <w:i/>
          <w:iCs/>
          <w:sz w:val="19"/>
          <w:szCs w:val="19"/>
        </w:rPr>
        <w:t xml:space="preserve">A short-cycle, SKU-specific quantity scheme. Issued as a circular under a Master Trade Terms Agreement rather than negotiated separately.</w:t>
      </w:r>
    </w:p>
    <w:p>
      <w:pPr>
        <w:spacing w:after="160" w:before="0"/>
      </w:pPr>
      <w:r>
        <w:rPr>
          <w:rFonts w:ascii="Calibri" w:cs="Calibri" w:eastAsia="Calibri" w:hAnsi="Calibri"/>
          <w:i/>
          <w:iCs/>
          <w:color w:val="5B6670"/>
          <w:sz w:val="20"/>
          <w:szCs w:val="20"/>
        </w:rPr>
        <w:t xml:space="preserve">Issued under the Master Trade Terms Agreement dated [DATE] between the parties. Where this circular is silent, the Master Agreement applies.</w:t>
      </w:r>
    </w:p>
    <w:p>
      <w:pPr>
        <w:pStyle w:val="Heading2"/>
        <w:spacing w:after="120" w:before="220"/>
      </w:pPr>
      <w:r>
        <w:t xml:space="preserve">1  Scheme particulars</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3000"/>
        <w:gridCol w:w="5600"/>
      </w:tblGrid>
      <w:tr>
        <w:trPr>
          <w:tblHeader/>
        </w:trPr>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Field</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Detail</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Scheme reference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[QPS/____/____]</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Circular version and date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v[1.0], [DD-MMM-YYYY]</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Scheme Period</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[DD-MMM-YYYY] to [DD-MMM-YYYY]</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Basis</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Quantity of Qualifying Products purchased</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Unit of measure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[CASES / UNITS / KG] — state the pack</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Calculation basis</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[WHOLE-VOLUME / STEPPED]</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Governing date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[INVOICE / DESPATCH / RECEIPT]</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Gross or net of returns</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[NET / GROSS]</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Cap</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[____ / None]</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Interaction with TOD</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[Counts / Does not count] toward turnover discount</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Claim window</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[30] days from Scheme Period end</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Claim deadline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[DD-MMM-YYYY]</w:t>
            </w:r>
          </w:p>
        </w:tc>
      </w:tr>
    </w:tbl>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The last row is a calculated field and the single most valuable line in the document. A claim submitted after it has no recovery route.</w:t>
      </w:r>
    </w:p>
    <w:p>
      <w:pPr>
        <w:pStyle w:val="Heading2"/>
        <w:spacing w:after="120" w:before="220"/>
      </w:pPr>
      <w:r>
        <w:t xml:space="preserve">2  Slab table</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900"/>
        <w:gridCol w:w="4300"/>
        <w:gridCol w:w="3400"/>
      </w:tblGrid>
      <w:tr>
        <w:trPr>
          <w:tblHeader/>
        </w:trPr>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Slab</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Quantity</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Rate per unit</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1</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Up to [____]</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₹[0]</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2</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[____] to [____]</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₹[____]</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3</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[____] to [____]</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₹[____]</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4</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Above [____]</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₹[____]</w:t>
            </w:r>
          </w:p>
        </w:tc>
      </w:tr>
    </w:tbl>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If the pack size for any Qualifying Product changes during the Scheme Period, state here how quantities are to be converted. A scheme in cases against a SKU that moves from 24s to 12s produces a claim that does not mean what the circular meant.</w:t>
      </w:r>
    </w:p>
    <w:p>
      <w:pPr>
        <w:pStyle w:val="Heading2"/>
        <w:spacing w:after="120" w:before="220"/>
      </w:pPr>
      <w:r>
        <w:t xml:space="preserve">3  Qualifying Products</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2000"/>
        <w:gridCol w:w="3600"/>
        <w:gridCol w:w="1500"/>
        <w:gridCol w:w="1500"/>
      </w:tblGrid>
      <w:tr>
        <w:trPr>
          <w:tblHeader/>
        </w:trPr>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SKU code</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Description</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Pack</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Qualifying</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bl>
    <w:p>
      <w:pPr>
        <w:pStyle w:val="Heading2"/>
        <w:spacing w:after="120" w:before="220"/>
      </w:pPr>
      <w:r>
        <w:t xml:space="preserve">4  Scheme terms</w:t>
      </w:r>
    </w:p>
    <w:p>
      <w:pPr>
        <w:spacing w:after="60" w:before="160"/>
      </w:pPr>
      <w:r>
        <w:rPr>
          <w:rFonts w:ascii="Calibri" w:cs="Calibri" w:eastAsia="Calibri" w:hAnsi="Calibri"/>
          <w:b/>
          <w:bCs/>
          <w:color w:val="0F766E"/>
          <w:sz w:val="20"/>
          <w:szCs w:val="20"/>
        </w:rPr>
        <w:t xml:space="preserve">4.1  </w:t>
      </w:r>
      <w:r>
        <w:rPr>
          <w:rFonts w:ascii="Calibri" w:cs="Calibri" w:eastAsia="Calibri" w:hAnsi="Calibri"/>
          <w:b/>
          <w:bCs/>
          <w:color w:val="0F766E"/>
          <w:sz w:val="20"/>
          <w:szCs w:val="20"/>
        </w:rPr>
        <w:t xml:space="preserve">Calculation basis</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[OPTION A — WHOLE-VOLUME] The rate corresponding to the highest slab achieved shall apply to the entire Qualifying Purchase Value for the Scheme Period.</w:t>
      </w:r>
    </w:p>
    <w:p>
      <w:pPr>
        <w:spacing w:after="80"/>
        <w:ind w:left="460"/>
      </w:pPr>
      <w:r>
        <w:rPr>
          <w:rFonts w:ascii="Calibri" w:cs="Calibri" w:eastAsia="Calibri" w:hAnsi="Calibri"/>
          <w:sz w:val="20"/>
          <w:szCs w:val="20"/>
        </w:rPr>
        <w:t xml:space="preserve">[OPTION B — STEPPED] Each rate shall apply only to that portion of the Qualifying Purchase Value falling within its respective slab.</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Delete the option that does not apply. Leaving both, or leaving the basis unstated, is the single largest source of rebate disputes — on the same volume and slab table the two readings can differ by more than half the entitlement.</w:t>
      </w:r>
    </w:p>
    <w:p>
      <w:pPr>
        <w:spacing w:after="60" w:before="160"/>
      </w:pPr>
      <w:r>
        <w:rPr>
          <w:rFonts w:ascii="Calibri" w:cs="Calibri" w:eastAsia="Calibri" w:hAnsi="Calibri"/>
          <w:b/>
          <w:bCs/>
          <w:color w:val="0F766E"/>
          <w:sz w:val="20"/>
          <w:szCs w:val="20"/>
        </w:rPr>
        <w:t xml:space="preserve">4.2  </w:t>
      </w:r>
      <w:r>
        <w:rPr>
          <w:rFonts w:ascii="Calibri" w:cs="Calibri" w:eastAsia="Calibri" w:hAnsi="Calibri"/>
          <w:b/>
          <w:bCs/>
          <w:color w:val="0F766E"/>
          <w:sz w:val="20"/>
          <w:szCs w:val="20"/>
        </w:rPr>
        <w:t xml:space="preserve">Qualifying Purchase Value</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Qualifying Purchase Value means the net invoice value of Qualifying Products purchased by the Distributor from the Company during the Scheme Period, exclusive of GST, freight and insurance, after deduction of any on-invoice discount, and excluding any free-of-cost quantities.</w:t>
      </w:r>
    </w:p>
    <w:p>
      <w:pPr>
        <w:spacing w:after="80"/>
        <w:ind w:left="460"/>
      </w:pPr>
      <w:r>
        <w:rPr>
          <w:rFonts w:ascii="Calibri" w:cs="Calibri" w:eastAsia="Calibri" w:hAnsi="Calibri"/>
          <w:sz w:val="20"/>
          <w:szCs w:val="20"/>
        </w:rPr>
        <w:t xml:space="preserve">Purchases made by any entity other than those listed in Schedule A shall not count toward Qualifying Purchase Value.</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'Purchases' is not self-defining. Two parties computing honestly from identical invoices can differ by several percent on GST, freight, on-invoice discount and free goods. Amend the exclusions to match what was actually agreed.</w:t>
      </w:r>
    </w:p>
    <w:p>
      <w:pPr>
        <w:spacing w:after="60" w:before="160"/>
      </w:pPr>
      <w:r>
        <w:rPr>
          <w:rFonts w:ascii="Calibri" w:cs="Calibri" w:eastAsia="Calibri" w:hAnsi="Calibri"/>
          <w:b/>
          <w:bCs/>
          <w:color w:val="0F766E"/>
          <w:sz w:val="20"/>
          <w:szCs w:val="20"/>
        </w:rPr>
        <w:t xml:space="preserve">4.3  </w:t>
      </w:r>
      <w:r>
        <w:rPr>
          <w:rFonts w:ascii="Calibri" w:cs="Calibri" w:eastAsia="Calibri" w:hAnsi="Calibri"/>
          <w:b/>
          <w:bCs/>
          <w:color w:val="0F766E"/>
          <w:sz w:val="20"/>
          <w:szCs w:val="20"/>
        </w:rPr>
        <w:t xml:space="preserve">Governing date</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A transaction falls within the Scheme Period where the tax invoice is dated within the Scheme Period, irrespective of the date of despatch or the date of receipt of goods.</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Replace 'tax invoice is dated' with despatch or receipt if that is what was agreed. Period-boundary transactions are where this dispute always occurs, and it recurs every period until the clause exists.</w:t>
      </w:r>
    </w:p>
    <w:p>
      <w:pPr>
        <w:spacing w:after="60" w:before="160"/>
      </w:pPr>
      <w:r>
        <w:rPr>
          <w:rFonts w:ascii="Calibri" w:cs="Calibri" w:eastAsia="Calibri" w:hAnsi="Calibri"/>
          <w:b/>
          <w:bCs/>
          <w:color w:val="0F766E"/>
          <w:sz w:val="20"/>
          <w:szCs w:val="20"/>
        </w:rPr>
        <w:t xml:space="preserve">4.4  </w:t>
      </w:r>
      <w:r>
        <w:rPr>
          <w:rFonts w:ascii="Calibri" w:cs="Calibri" w:eastAsia="Calibri" w:hAnsi="Calibri"/>
          <w:b/>
          <w:bCs/>
          <w:color w:val="0F766E"/>
          <w:sz w:val="20"/>
          <w:szCs w:val="20"/>
        </w:rPr>
        <w:t xml:space="preserve">Returns and credit notes</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Qualifying Purchase Value shall be reduced by the value of all returns and credit notes raised during the Scheme Period, irrespective of the period of the original supply.</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Near a slab threshold, netting does not merely reduce the base — it can drop it into a lower slab, so the rate falls on the entire base. State whether prior-period returns count.</w:t>
      </w:r>
    </w:p>
    <w:p>
      <w:pPr>
        <w:spacing w:after="60" w:before="160"/>
      </w:pPr>
      <w:r>
        <w:rPr>
          <w:rFonts w:ascii="Calibri" w:cs="Calibri" w:eastAsia="Calibri" w:hAnsi="Calibri"/>
          <w:b/>
          <w:bCs/>
          <w:color w:val="0F766E"/>
          <w:sz w:val="20"/>
          <w:szCs w:val="20"/>
        </w:rPr>
        <w:t xml:space="preserve">4.5  </w:t>
      </w:r>
      <w:r>
        <w:rPr>
          <w:rFonts w:ascii="Calibri" w:cs="Calibri" w:eastAsia="Calibri" w:hAnsi="Calibri"/>
          <w:b/>
          <w:bCs/>
          <w:color w:val="0F766E"/>
          <w:sz w:val="20"/>
          <w:szCs w:val="20"/>
        </w:rPr>
        <w:t xml:space="preserve">Amendment</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Any amendment to this Agreement, including any revision to rates, slabs, Qualifying Products or Scheme Period, shall be notified in writing not less than [15] days before its effective date and shall apply prospectively only.</w:t>
      </w:r>
    </w:p>
    <w:p>
      <w:pPr>
        <w:spacing w:after="80"/>
        <w:ind w:left="460"/>
      </w:pPr>
      <w:r>
        <w:rPr>
          <w:rFonts w:ascii="Calibri" w:cs="Calibri" w:eastAsia="Calibri" w:hAnsi="Calibri"/>
          <w:sz w:val="20"/>
          <w:szCs w:val="20"/>
        </w:rPr>
        <w:t xml:space="preserve">Transactions occurring before the effective date of an amendment shall be computed on the terms in force at the time of the transaction.</w:t>
      </w:r>
    </w:p>
    <w:p>
      <w:pPr>
        <w:spacing w:after="80"/>
        <w:ind w:left="460"/>
      </w:pPr>
      <w:r>
        <w:rPr>
          <w:rFonts w:ascii="Calibri" w:cs="Calibri" w:eastAsia="Calibri" w:hAnsi="Calibri"/>
          <w:sz w:val="20"/>
          <w:szCs w:val="20"/>
        </w:rPr>
        <w:t xml:space="preserve">Each amendment shall carry a version number and an effective date, and the Company shall maintain and provide on request the version history of this Agreement.</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This clause prevents the most common finding in rebate audits — that the version of the agreement live on a transaction date cannot be produced. Without it, a mid-period revision silently reprices work already done.</w:t>
      </w:r>
    </w:p>
    <w:p>
      <w:pPr>
        <w:spacing w:after="60" w:before="160"/>
      </w:pPr>
      <w:r>
        <w:rPr>
          <w:rFonts w:ascii="Calibri" w:cs="Calibri" w:eastAsia="Calibri" w:hAnsi="Calibri"/>
          <w:b/>
          <w:bCs/>
          <w:color w:val="0F766E"/>
          <w:sz w:val="20"/>
          <w:szCs w:val="20"/>
        </w:rPr>
        <w:t xml:space="preserve">4.6  </w:t>
      </w:r>
      <w:r>
        <w:rPr>
          <w:rFonts w:ascii="Calibri" w:cs="Calibri" w:eastAsia="Calibri" w:hAnsi="Calibri"/>
          <w:b/>
          <w:bCs/>
          <w:color w:val="0F766E"/>
          <w:sz w:val="20"/>
          <w:szCs w:val="20"/>
        </w:rPr>
        <w:t xml:space="preserve">Claim window</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Claims shall be submitted within [60] days of the end of the Scheme Period.</w:t>
      </w:r>
    </w:p>
    <w:p>
      <w:pPr>
        <w:spacing w:after="80"/>
        <w:ind w:left="460"/>
      </w:pPr>
      <w:r>
        <w:rPr>
          <w:rFonts w:ascii="Calibri" w:cs="Calibri" w:eastAsia="Calibri" w:hAnsi="Calibri"/>
          <w:sz w:val="20"/>
          <w:szCs w:val="20"/>
        </w:rPr>
        <w:t xml:space="preserve">Submission is complete on receipt of the Company's written acknowledgement, which the Company shall issue within [2] working days of receiving a claim.</w:t>
      </w:r>
    </w:p>
    <w:p>
      <w:pPr>
        <w:spacing w:after="80"/>
        <w:ind w:left="460"/>
      </w:pPr>
      <w:r>
        <w:rPr>
          <w:rFonts w:ascii="Calibri" w:cs="Calibri" w:eastAsia="Calibri" w:hAnsi="Calibri"/>
          <w:sz w:val="20"/>
          <w:szCs w:val="20"/>
        </w:rPr>
        <w:t xml:space="preserve">Where the Company raises a query on a claim, the claim window shall be extended by the number of days between the query and the Distributor's response.</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The second sentence is the one to negotiate. A window measured to acknowledgement, with no obligation on the Company to acknowledge, is a window the Company controls. A missed window has no recovery route.</w:t>
      </w:r>
    </w:p>
    <w:p>
      <w:pPr>
        <w:pStyle w:val="Heading2"/>
        <w:spacing w:after="120" w:before="220"/>
      </w:pPr>
      <w:r>
        <w:t xml:space="preserve">5  Settlement</w:t>
      </w:r>
    </w:p>
    <w:p>
      <w:pPr>
        <w:spacing w:after="60" w:before="160"/>
      </w:pPr>
      <w:r>
        <w:rPr>
          <w:rFonts w:ascii="Calibri" w:cs="Calibri" w:eastAsia="Calibri" w:hAnsi="Calibri"/>
          <w:b/>
          <w:bCs/>
          <w:color w:val="000000"/>
          <w:sz w:val="20"/>
          <w:szCs w:val="20"/>
        </w:rPr>
        <w:t xml:space="preserve">5.1  </w:t>
      </w:r>
      <w:r>
        <w:rPr>
          <w:rFonts w:ascii="Calibri" w:cs="Calibri" w:eastAsia="Calibri" w:hAnsi="Calibri"/>
          <w:b/>
          <w:bCs/>
          <w:color w:val="000000"/>
          <w:sz w:val="20"/>
          <w:szCs w:val="20"/>
        </w:rPr>
        <w:t xml:space="preserve">Method and timing</w:t>
      </w:r>
    </w:p>
    <w:p>
      <w:pPr>
        <w:spacing w:after="80"/>
        <w:ind w:left="460"/>
      </w:pPr>
      <w:r>
        <w:rPr>
          <w:rFonts w:ascii="Calibri" w:cs="Calibri" w:eastAsia="Calibri" w:hAnsi="Calibri"/>
          <w:sz w:val="20"/>
          <w:szCs w:val="20"/>
        </w:rPr>
        <w:t xml:space="preserve">The Company shall settle approved claims within [30] days of approval by way of credit note.</w:t>
      </w:r>
    </w:p>
    <w:p>
      <w:pPr>
        <w:spacing w:after="80"/>
        <w:ind w:left="460"/>
      </w:pPr>
      <w:r>
        <w:rPr>
          <w:rFonts w:ascii="Calibri" w:cs="Calibri" w:eastAsia="Calibri" w:hAnsi="Calibri"/>
          <w:sz w:val="20"/>
          <w:szCs w:val="20"/>
        </w:rPr>
        <w:t xml:space="preserve">The Company shall validate a claim and either approve it or raise a query within [15] working days of acknowledgement.</w:t>
      </w:r>
    </w:p>
    <w:p>
      <w:pPr>
        <w:spacing w:after="60" w:before="160"/>
      </w:pPr>
      <w:r>
        <w:rPr>
          <w:rFonts w:ascii="Calibri" w:cs="Calibri" w:eastAsia="Calibri" w:hAnsi="Calibri"/>
          <w:b/>
          <w:bCs/>
          <w:color w:val="0F766E"/>
          <w:sz w:val="20"/>
          <w:szCs w:val="20"/>
        </w:rPr>
        <w:t xml:space="preserve">5.2  </w:t>
      </w:r>
      <w:r>
        <w:rPr>
          <w:rFonts w:ascii="Calibri" w:cs="Calibri" w:eastAsia="Calibri" w:hAnsi="Calibri"/>
          <w:b/>
          <w:bCs/>
          <w:color w:val="0F766E"/>
          <w:sz w:val="20"/>
          <w:szCs w:val="20"/>
        </w:rPr>
        <w:t xml:space="preserve">Settlement document reference</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Every credit note issued in settlement shall state the Scheme reference, the Scheme Period and the claim number to which it relates.</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Not a statutory requirement and the highest-leverage clause in the document. A credit note naming only an amount and a date cannot be reconciled, so the claim stays open and may be chased again.</w:t>
      </w:r>
    </w:p>
    <w:p>
      <w:pPr>
        <w:spacing w:after="60" w:before="160"/>
      </w:pPr>
      <w:r>
        <w:rPr>
          <w:rFonts w:ascii="Calibri" w:cs="Calibri" w:eastAsia="Calibri" w:hAnsi="Calibri"/>
          <w:b/>
          <w:bCs/>
          <w:color w:val="000000"/>
          <w:sz w:val="20"/>
          <w:szCs w:val="20"/>
        </w:rPr>
        <w:t xml:space="preserve">5.3  </w:t>
      </w:r>
      <w:r>
        <w:rPr>
          <w:rFonts w:ascii="Calibri" w:cs="Calibri" w:eastAsia="Calibri" w:hAnsi="Calibri"/>
          <w:b/>
          <w:bCs/>
          <w:color w:val="000000"/>
          <w:sz w:val="20"/>
          <w:szCs w:val="20"/>
        </w:rPr>
        <w:t xml:space="preserve">Tax treatment</w:t>
      </w:r>
    </w:p>
    <w:p>
      <w:pPr>
        <w:spacing w:after="80"/>
        <w:ind w:left="460"/>
      </w:pPr>
      <w:r>
        <w:rPr>
          <w:rFonts w:ascii="Calibri" w:cs="Calibri" w:eastAsia="Calibri" w:hAnsi="Calibri"/>
          <w:sz w:val="20"/>
          <w:szCs w:val="20"/>
        </w:rPr>
        <w:t xml:space="preserve">The parties shall agree at the outset whether settlement is to be made by tax credit note or by commercial credit note, and shall record that election in Schedule A.</w:t>
      </w:r>
    </w:p>
    <w:p>
      <w:pPr>
        <w:spacing w:after="80"/>
        <w:ind w:left="460"/>
      </w:pPr>
      <w:r>
        <w:rPr>
          <w:rFonts w:ascii="Calibri" w:cs="Calibri" w:eastAsia="Calibri" w:hAnsi="Calibri"/>
          <w:sz w:val="20"/>
          <w:szCs w:val="20"/>
        </w:rPr>
        <w:t xml:space="preserve">Where settlement is by tax credit note, the Distributor shall reverse the input tax credit attributable to the discount in accordance with applicable law, and shall confirm such reversal to the Company on request.</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Tax positions change. The Finance Act 2026 amends Section 15(3)(b) and Section 34 in respect of post-supply discounts; those amendments had not commenced at the time this template was prepared. Confirm the position in force with a tax advisor before relying on this clause.</w:t>
      </w:r>
    </w:p>
    <w:p>
      <w:pPr>
        <w:spacing w:after="160" w:before="0"/>
      </w:pPr>
      <w:r>
        <w:rPr>
          <w:rFonts w:ascii="Calibri" w:cs="Calibri" w:eastAsia="Calibri" w:hAnsi="Calibri"/>
          <w:sz w:val="20"/>
          <w:szCs w:val="20"/>
        </w:rPr>
        <w:t xml:space="preserve"/>
      </w:r>
    </w:p>
    <w:p>
      <w:pPr>
        <w:spacing w:after="120" w:before="0"/>
      </w:pPr>
      <w:r>
        <w:rPr>
          <w:rFonts w:ascii="Calibri" w:cs="Calibri" w:eastAsia="Calibri" w:hAnsi="Calibri"/>
          <w:b/>
          <w:bCs/>
          <w:sz w:val="20"/>
          <w:szCs w:val="20"/>
        </w:rPr>
        <w:t xml:space="preserve">Issued by: [NAME], [DESIGNATION], [COMPANY]        Date: [DD-MMM-YYYY]</w:t>
      </w:r>
    </w:p>
    <w:p>
      <w:r>
        <w:br w:type="page"/>
      </w:r>
    </w:p>
    <w:p>
      <w:pPr>
        <w:pStyle w:val="Heading1"/>
        <w:spacing w:after="160" w:before="240"/>
      </w:pPr>
      <w:r>
        <w:t xml:space="preserve">5.  Free Goods / Bonus Scheme Circular</w:t>
      </w:r>
    </w:p>
    <w:p>
      <w:pPr>
        <w:pBdr>
          <w:left w:val="single" w:color="0F766E" w:sz="12" w:space="8"/>
        </w:pBdr>
        <w:spacing w:after="200"/>
        <w:ind w:left="288"/>
      </w:pPr>
      <w:r>
        <w:rPr>
          <w:rFonts w:ascii="Calibri" w:cs="Calibri" w:eastAsia="Calibri" w:hAnsi="Calibri"/>
          <w:b/>
          <w:bCs/>
          <w:color w:val="0F766E"/>
          <w:sz w:val="17"/>
          <w:szCs w:val="17"/>
        </w:rPr>
        <w:t xml:space="preserve">WHEN TO USE  </w:t>
      </w:r>
      <w:r>
        <w:rPr>
          <w:rFonts w:ascii="Calibri" w:cs="Calibri" w:eastAsia="Calibri" w:hAnsi="Calibri"/>
          <w:i/>
          <w:iCs/>
          <w:sz w:val="19"/>
          <w:szCs w:val="19"/>
        </w:rPr>
        <w:t xml:space="preserve">A goods-based benefit — 10+1, 20+2 and similar. Distinct from a cash scheme because the benefit arrives as stock and affects unit cost and inventory valuation.</w:t>
      </w:r>
    </w:p>
    <w:p>
      <w:pPr>
        <w:pStyle w:val="Heading2"/>
        <w:spacing w:after="120" w:before="220"/>
      </w:pPr>
      <w:r>
        <w:t xml:space="preserve">1  Scheme particulars</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2800"/>
        <w:gridCol w:w="5800"/>
      </w:tblGrid>
      <w:tr>
        <w:trPr>
          <w:tblHeader/>
        </w:trPr>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Field</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Detail</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Scheme reference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[FG/____/____]</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Scheme Period</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[DD-MMM-YYYY] to [DD-MMM-YYYY]</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Offer ratio</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[10] paid + [1] free</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Effective discount</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[9.09]%  — free ÷ (paid + free)</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Applies per</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[INVOICE / ORDER / PERIOD TOTAL]</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Governing date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[INVOICE / DESPATCH / RECEIPT]</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Claim window</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[Not applicable — supplied with order] / [30] days</w:t>
            </w:r>
          </w:p>
        </w:tc>
      </w:tr>
    </w:tbl>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A 10+1 is a 9.09% discount, not 10%: the free unit is 1 of the 11 units received. Stating the effective percentage in the circular removes a costing error that otherwise runs through every case purchased under the scheme.</w:t>
      </w:r>
    </w:p>
    <w:p>
      <w:pPr>
        <w:pStyle w:val="Heading2"/>
        <w:spacing w:after="120" w:before="220"/>
      </w:pPr>
      <w:r>
        <w:t xml:space="preserve">2  Ratio table</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1600"/>
        <w:gridCol w:w="1900"/>
        <w:gridCol w:w="1900"/>
        <w:gridCol w:w="3200"/>
      </w:tblGrid>
      <w:tr>
        <w:trPr>
          <w:tblHeader/>
        </w:trPr>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Ratio</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Pay for</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Receive</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Effective discount</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3+1</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3</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4</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25.00%</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5+1</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5</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6</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16.67%</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10+1</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10</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11</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9.09%</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10+2</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10</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12</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16.67%</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12+1</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12</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13</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7.69%</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20+1</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20</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21</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4.76%</w:t>
            </w:r>
          </w:p>
        </w:tc>
      </w:tr>
    </w:tbl>
    <w:p>
      <w:pPr>
        <w:pStyle w:val="Heading2"/>
        <w:spacing w:after="120" w:before="220"/>
      </w:pPr>
      <w:r>
        <w:t xml:space="preserve">3  Supply and documentation of free goods</w:t>
      </w:r>
    </w:p>
    <w:p>
      <w:pPr>
        <w:spacing w:after="60" w:before="160"/>
      </w:pPr>
      <w:r>
        <w:rPr>
          <w:rFonts w:ascii="Calibri" w:cs="Calibri" w:eastAsia="Calibri" w:hAnsi="Calibri"/>
          <w:b/>
          <w:bCs/>
          <w:color w:val="0F766E"/>
          <w:sz w:val="20"/>
          <w:szCs w:val="20"/>
        </w:rPr>
        <w:t xml:space="preserve">3.1  </w:t>
      </w:r>
      <w:r>
        <w:rPr>
          <w:rFonts w:ascii="Calibri" w:cs="Calibri" w:eastAsia="Calibri" w:hAnsi="Calibri"/>
          <w:b/>
          <w:bCs/>
          <w:color w:val="0F766E"/>
          <w:sz w:val="20"/>
          <w:szCs w:val="20"/>
        </w:rPr>
        <w:t xml:space="preserve">Basis of supply</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[OPTION A — COMPOSITE] The Company supplies [11] units of the Qualifying Product for a total consideration of ₹[____], being the price of [10] units. The invoice shall show [11] units against that total value.</w:t>
      </w:r>
    </w:p>
    <w:p>
      <w:pPr>
        <w:spacing w:after="80"/>
        <w:ind w:left="460"/>
      </w:pPr>
      <w:r>
        <w:rPr>
          <w:rFonts w:ascii="Calibri" w:cs="Calibri" w:eastAsia="Calibri" w:hAnsi="Calibri"/>
          <w:sz w:val="20"/>
          <w:szCs w:val="20"/>
        </w:rPr>
        <w:t xml:space="preserve">[OPTION B — SEPARATE] The Company supplies [10] units at the applicable price and [1] unit free of cost, shown separately on the invoice at nil value.</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This election has tax consequences and they differ. A single composite offer priced as one is treated differently from goods supplied genuinely free of consideration, and there may be input tax credit reversal implications for the latter. The characterisation follows the documentation, not the commercial description. Confirm with a tax advisor before electing.</w:t>
      </w:r>
    </w:p>
    <w:p>
      <w:pPr>
        <w:spacing w:after="60" w:before="160"/>
      </w:pPr>
      <w:r>
        <w:rPr>
          <w:rFonts w:ascii="Calibri" w:cs="Calibri" w:eastAsia="Calibri" w:hAnsi="Calibri"/>
          <w:b/>
          <w:bCs/>
          <w:color w:val="000000"/>
          <w:sz w:val="20"/>
          <w:szCs w:val="20"/>
        </w:rPr>
        <w:t xml:space="preserve">3.2  </w:t>
      </w:r>
      <w:r>
        <w:rPr>
          <w:rFonts w:ascii="Calibri" w:cs="Calibri" w:eastAsia="Calibri" w:hAnsi="Calibri"/>
          <w:b/>
          <w:bCs/>
          <w:color w:val="000000"/>
          <w:sz w:val="20"/>
          <w:szCs w:val="20"/>
        </w:rPr>
        <w:t xml:space="preserve">Inventory recording</w:t>
      </w:r>
    </w:p>
    <w:p>
      <w:pPr>
        <w:spacing w:after="80"/>
        <w:ind w:left="460"/>
      </w:pPr>
      <w:r>
        <w:rPr>
          <w:rFonts w:ascii="Calibri" w:cs="Calibri" w:eastAsia="Calibri" w:hAnsi="Calibri"/>
          <w:sz w:val="20"/>
          <w:szCs w:val="20"/>
        </w:rPr>
        <w:t xml:space="preserve">The Distributor shall record the full quantity received against the full invoice value, so that unit cost reflects the total quantity received.</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Recording free units as a separate nil-value receipt creates two costs for identical stock and distorts margin on every subsequent sale until the batch clears.</w:t>
      </w:r>
    </w:p>
    <w:p>
      <w:pPr>
        <w:spacing w:after="60" w:before="160"/>
      </w:pPr>
      <w:r>
        <w:rPr>
          <w:rFonts w:ascii="Calibri" w:cs="Calibri" w:eastAsia="Calibri" w:hAnsi="Calibri"/>
          <w:b/>
          <w:bCs/>
          <w:color w:val="000000"/>
          <w:sz w:val="20"/>
          <w:szCs w:val="20"/>
        </w:rPr>
        <w:t xml:space="preserve">3.3  </w:t>
      </w:r>
      <w:r>
        <w:rPr>
          <w:rFonts w:ascii="Calibri" w:cs="Calibri" w:eastAsia="Calibri" w:hAnsi="Calibri"/>
          <w:b/>
          <w:bCs/>
          <w:color w:val="000000"/>
          <w:sz w:val="20"/>
          <w:szCs w:val="20"/>
        </w:rPr>
        <w:t xml:space="preserve">Returns</w:t>
      </w:r>
    </w:p>
    <w:p>
      <w:pPr>
        <w:spacing w:after="80"/>
        <w:ind w:left="460"/>
      </w:pPr>
      <w:r>
        <w:rPr>
          <w:rFonts w:ascii="Calibri" w:cs="Calibri" w:eastAsia="Calibri" w:hAnsi="Calibri"/>
          <w:sz w:val="20"/>
          <w:szCs w:val="20"/>
        </w:rPr>
        <w:t xml:space="preserve">Where Qualifying Products supplied under this scheme are returned, free goods shall be returned in the same ratio, or their value recovered at [____].</w:t>
      </w:r>
    </w:p>
    <w:p>
      <w:pPr>
        <w:pStyle w:val="Heading2"/>
        <w:spacing w:after="120" w:before="220"/>
      </w:pPr>
      <w:r>
        <w:t xml:space="preserve">4  Scheme terms</w:t>
      </w:r>
    </w:p>
    <w:p>
      <w:pPr>
        <w:spacing w:after="60" w:before="160"/>
      </w:pPr>
      <w:r>
        <w:rPr>
          <w:rFonts w:ascii="Calibri" w:cs="Calibri" w:eastAsia="Calibri" w:hAnsi="Calibri"/>
          <w:b/>
          <w:bCs/>
          <w:color w:val="0F766E"/>
          <w:sz w:val="20"/>
          <w:szCs w:val="20"/>
        </w:rPr>
        <w:t xml:space="preserve">4.1  </w:t>
      </w:r>
      <w:r>
        <w:rPr>
          <w:rFonts w:ascii="Calibri" w:cs="Calibri" w:eastAsia="Calibri" w:hAnsi="Calibri"/>
          <w:b/>
          <w:bCs/>
          <w:color w:val="0F766E"/>
          <w:sz w:val="20"/>
          <w:szCs w:val="20"/>
        </w:rPr>
        <w:t xml:space="preserve">Calculation basis</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[OPTION A — WHOLE-VOLUME] The rate corresponding to the highest slab achieved shall apply to the entire Qualifying Purchase Value for the Scheme Period.</w:t>
      </w:r>
    </w:p>
    <w:p>
      <w:pPr>
        <w:spacing w:after="80"/>
        <w:ind w:left="460"/>
      </w:pPr>
      <w:r>
        <w:rPr>
          <w:rFonts w:ascii="Calibri" w:cs="Calibri" w:eastAsia="Calibri" w:hAnsi="Calibri"/>
          <w:sz w:val="20"/>
          <w:szCs w:val="20"/>
        </w:rPr>
        <w:t xml:space="preserve">[OPTION B — STEPPED] Each rate shall apply only to that portion of the Qualifying Purchase Value falling within its respective slab.</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Delete the option that does not apply. Leaving both, or leaving the basis unstated, is the single largest source of rebate disputes — on the same volume and slab table the two readings can differ by more than half the entitlement.</w:t>
      </w:r>
    </w:p>
    <w:p>
      <w:pPr>
        <w:spacing w:after="60" w:before="160"/>
      </w:pPr>
      <w:r>
        <w:rPr>
          <w:rFonts w:ascii="Calibri" w:cs="Calibri" w:eastAsia="Calibri" w:hAnsi="Calibri"/>
          <w:b/>
          <w:bCs/>
          <w:color w:val="0F766E"/>
          <w:sz w:val="20"/>
          <w:szCs w:val="20"/>
        </w:rPr>
        <w:t xml:space="preserve">4.2  </w:t>
      </w:r>
      <w:r>
        <w:rPr>
          <w:rFonts w:ascii="Calibri" w:cs="Calibri" w:eastAsia="Calibri" w:hAnsi="Calibri"/>
          <w:b/>
          <w:bCs/>
          <w:color w:val="0F766E"/>
          <w:sz w:val="20"/>
          <w:szCs w:val="20"/>
        </w:rPr>
        <w:t xml:space="preserve">Qualifying Purchase Value</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Qualifying Purchase Value means the net invoice value of Qualifying Products purchased by the Distributor from the Company during the Scheme Period, exclusive of GST, freight and insurance, after deduction of any on-invoice discount, and excluding any free-of-cost quantities.</w:t>
      </w:r>
    </w:p>
    <w:p>
      <w:pPr>
        <w:spacing w:after="80"/>
        <w:ind w:left="460"/>
      </w:pPr>
      <w:r>
        <w:rPr>
          <w:rFonts w:ascii="Calibri" w:cs="Calibri" w:eastAsia="Calibri" w:hAnsi="Calibri"/>
          <w:sz w:val="20"/>
          <w:szCs w:val="20"/>
        </w:rPr>
        <w:t xml:space="preserve">Purchases made by any entity other than those listed in Schedule A shall not count toward Qualifying Purchase Value.</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'Purchases' is not self-defining. Two parties computing honestly from identical invoices can differ by several percent on GST, freight, on-invoice discount and free goods. Amend the exclusions to match what was actually agreed.</w:t>
      </w:r>
    </w:p>
    <w:p>
      <w:pPr>
        <w:spacing w:after="60" w:before="160"/>
      </w:pPr>
      <w:r>
        <w:rPr>
          <w:rFonts w:ascii="Calibri" w:cs="Calibri" w:eastAsia="Calibri" w:hAnsi="Calibri"/>
          <w:b/>
          <w:bCs/>
          <w:color w:val="0F766E"/>
          <w:sz w:val="20"/>
          <w:szCs w:val="20"/>
        </w:rPr>
        <w:t xml:space="preserve">4.3  </w:t>
      </w:r>
      <w:r>
        <w:rPr>
          <w:rFonts w:ascii="Calibri" w:cs="Calibri" w:eastAsia="Calibri" w:hAnsi="Calibri"/>
          <w:b/>
          <w:bCs/>
          <w:color w:val="0F766E"/>
          <w:sz w:val="20"/>
          <w:szCs w:val="20"/>
        </w:rPr>
        <w:t xml:space="preserve">Governing date</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A transaction falls within the Scheme Period where the tax invoice is dated within the Scheme Period, irrespective of the date of despatch or the date of receipt of goods.</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Replace 'tax invoice is dated' with despatch or receipt if that is what was agreed. Period-boundary transactions are where this dispute always occurs, and it recurs every period until the clause exists.</w:t>
      </w:r>
    </w:p>
    <w:p>
      <w:pPr>
        <w:spacing w:after="60" w:before="160"/>
      </w:pPr>
      <w:r>
        <w:rPr>
          <w:rFonts w:ascii="Calibri" w:cs="Calibri" w:eastAsia="Calibri" w:hAnsi="Calibri"/>
          <w:b/>
          <w:bCs/>
          <w:color w:val="0F766E"/>
          <w:sz w:val="20"/>
          <w:szCs w:val="20"/>
        </w:rPr>
        <w:t xml:space="preserve">4.4  </w:t>
      </w:r>
      <w:r>
        <w:rPr>
          <w:rFonts w:ascii="Calibri" w:cs="Calibri" w:eastAsia="Calibri" w:hAnsi="Calibri"/>
          <w:b/>
          <w:bCs/>
          <w:color w:val="0F766E"/>
          <w:sz w:val="20"/>
          <w:szCs w:val="20"/>
        </w:rPr>
        <w:t xml:space="preserve">Returns and credit notes</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Qualifying Purchase Value shall be reduced by the value of all returns and credit notes raised during the Scheme Period, irrespective of the period of the original supply.</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Near a slab threshold, netting does not merely reduce the base — it can drop it into a lower slab, so the rate falls on the entire base. State whether prior-period returns count.</w:t>
      </w:r>
    </w:p>
    <w:p>
      <w:pPr>
        <w:spacing w:after="60" w:before="160"/>
      </w:pPr>
      <w:r>
        <w:rPr>
          <w:rFonts w:ascii="Calibri" w:cs="Calibri" w:eastAsia="Calibri" w:hAnsi="Calibri"/>
          <w:b/>
          <w:bCs/>
          <w:color w:val="0F766E"/>
          <w:sz w:val="20"/>
          <w:szCs w:val="20"/>
        </w:rPr>
        <w:t xml:space="preserve">4.5  </w:t>
      </w:r>
      <w:r>
        <w:rPr>
          <w:rFonts w:ascii="Calibri" w:cs="Calibri" w:eastAsia="Calibri" w:hAnsi="Calibri"/>
          <w:b/>
          <w:bCs/>
          <w:color w:val="0F766E"/>
          <w:sz w:val="20"/>
          <w:szCs w:val="20"/>
        </w:rPr>
        <w:t xml:space="preserve">Amendment</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Any amendment to this Agreement, including any revision to rates, slabs, Qualifying Products or Scheme Period, shall be notified in writing not less than [15] days before its effective date and shall apply prospectively only.</w:t>
      </w:r>
    </w:p>
    <w:p>
      <w:pPr>
        <w:spacing w:after="80"/>
        <w:ind w:left="460"/>
      </w:pPr>
      <w:r>
        <w:rPr>
          <w:rFonts w:ascii="Calibri" w:cs="Calibri" w:eastAsia="Calibri" w:hAnsi="Calibri"/>
          <w:sz w:val="20"/>
          <w:szCs w:val="20"/>
        </w:rPr>
        <w:t xml:space="preserve">Transactions occurring before the effective date of an amendment shall be computed on the terms in force at the time of the transaction.</w:t>
      </w:r>
    </w:p>
    <w:p>
      <w:pPr>
        <w:spacing w:after="80"/>
        <w:ind w:left="460"/>
      </w:pPr>
      <w:r>
        <w:rPr>
          <w:rFonts w:ascii="Calibri" w:cs="Calibri" w:eastAsia="Calibri" w:hAnsi="Calibri"/>
          <w:sz w:val="20"/>
          <w:szCs w:val="20"/>
        </w:rPr>
        <w:t xml:space="preserve">Each amendment shall carry a version number and an effective date, and the Company shall maintain and provide on request the version history of this Agreement.</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This clause prevents the most common finding in rebate audits — that the version of the agreement live on a transaction date cannot be produced. Without it, a mid-period revision silently reprices work already done.</w:t>
      </w:r>
    </w:p>
    <w:p>
      <w:pPr>
        <w:spacing w:after="60" w:before="160"/>
      </w:pPr>
      <w:r>
        <w:rPr>
          <w:rFonts w:ascii="Calibri" w:cs="Calibri" w:eastAsia="Calibri" w:hAnsi="Calibri"/>
          <w:b/>
          <w:bCs/>
          <w:color w:val="0F766E"/>
          <w:sz w:val="20"/>
          <w:szCs w:val="20"/>
        </w:rPr>
        <w:t xml:space="preserve">4.6  </w:t>
      </w:r>
      <w:r>
        <w:rPr>
          <w:rFonts w:ascii="Calibri" w:cs="Calibri" w:eastAsia="Calibri" w:hAnsi="Calibri"/>
          <w:b/>
          <w:bCs/>
          <w:color w:val="0F766E"/>
          <w:sz w:val="20"/>
          <w:szCs w:val="20"/>
        </w:rPr>
        <w:t xml:space="preserve">Claim window</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Claims shall be submitted within [60] days of the end of the Scheme Period.</w:t>
      </w:r>
    </w:p>
    <w:p>
      <w:pPr>
        <w:spacing w:after="80"/>
        <w:ind w:left="460"/>
      </w:pPr>
      <w:r>
        <w:rPr>
          <w:rFonts w:ascii="Calibri" w:cs="Calibri" w:eastAsia="Calibri" w:hAnsi="Calibri"/>
          <w:sz w:val="20"/>
          <w:szCs w:val="20"/>
        </w:rPr>
        <w:t xml:space="preserve">Submission is complete on receipt of the Company's written acknowledgement, which the Company shall issue within [2] working days of receiving a claim.</w:t>
      </w:r>
    </w:p>
    <w:p>
      <w:pPr>
        <w:spacing w:after="80"/>
        <w:ind w:left="460"/>
      </w:pPr>
      <w:r>
        <w:rPr>
          <w:rFonts w:ascii="Calibri" w:cs="Calibri" w:eastAsia="Calibri" w:hAnsi="Calibri"/>
          <w:sz w:val="20"/>
          <w:szCs w:val="20"/>
        </w:rPr>
        <w:t xml:space="preserve">Where the Company raises a query on a claim, the claim window shall be extended by the number of days between the query and the Distributor's response.</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The second sentence is the one to negotiate. A window measured to acknowledgement, with no obligation on the Company to acknowledge, is a window the Company controls. A missed window has no recovery route.</w:t>
      </w:r>
    </w:p>
    <w:p>
      <w:pPr>
        <w:spacing w:after="160" w:before="0"/>
      </w:pPr>
      <w:r>
        <w:rPr>
          <w:rFonts w:ascii="Calibri" w:cs="Calibri" w:eastAsia="Calibri" w:hAnsi="Calibri"/>
          <w:sz w:val="20"/>
          <w:szCs w:val="20"/>
        </w:rPr>
        <w:t xml:space="preserve"/>
      </w:r>
    </w:p>
    <w:p>
      <w:pPr>
        <w:spacing w:after="120" w:before="0"/>
      </w:pPr>
      <w:r>
        <w:rPr>
          <w:rFonts w:ascii="Calibri" w:cs="Calibri" w:eastAsia="Calibri" w:hAnsi="Calibri"/>
          <w:b/>
          <w:bCs/>
          <w:sz w:val="20"/>
          <w:szCs w:val="20"/>
        </w:rPr>
        <w:t xml:space="preserve">Issued by: [NAME], [DESIGNATION], [COMPANY]        Date: [DD-MMM-YYYY]</w:t>
      </w:r>
    </w:p>
    <w:p>
      <w:r>
        <w:br w:type="page"/>
      </w:r>
    </w:p>
    <w:p>
      <w:pPr>
        <w:pStyle w:val="Heading1"/>
        <w:spacing w:after="160" w:before="240"/>
      </w:pPr>
      <w:r>
        <w:t xml:space="preserve">6.  Special Pricing / Rate Difference Authorisation</w:t>
      </w:r>
    </w:p>
    <w:p>
      <w:pPr>
        <w:pBdr>
          <w:left w:val="single" w:color="0F766E" w:sz="12" w:space="8"/>
        </w:pBdr>
        <w:spacing w:after="200"/>
        <w:ind w:left="288"/>
      </w:pPr>
      <w:r>
        <w:rPr>
          <w:rFonts w:ascii="Calibri" w:cs="Calibri" w:eastAsia="Calibri" w:hAnsi="Calibri"/>
          <w:b/>
          <w:bCs/>
          <w:color w:val="0F766E"/>
          <w:sz w:val="17"/>
          <w:szCs w:val="17"/>
        </w:rPr>
        <w:t xml:space="preserve">WHEN TO USE  </w:t>
      </w:r>
      <w:r>
        <w:rPr>
          <w:rFonts w:ascii="Calibri" w:cs="Calibri" w:eastAsia="Calibri" w:hAnsi="Calibri"/>
          <w:i/>
          <w:iCs/>
          <w:sz w:val="19"/>
          <w:szCs w:val="19"/>
        </w:rPr>
        <w:t xml:space="preserve">Authorises a distributor to supply a named end customer at a reduced price and recover the difference. Per-transaction rather than per-period — it fails on authorisation, not on calculation.</w:t>
      </w:r>
    </w:p>
    <w:p>
      <w:pPr>
        <w:pStyle w:val="Heading2"/>
        <w:spacing w:after="120" w:before="220"/>
      </w:pPr>
      <w:r>
        <w:t xml:space="preserve">1  Authorisation particulars</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3400"/>
        <w:gridCol w:w="5200"/>
      </w:tblGrid>
      <w:tr>
        <w:trPr>
          <w:tblHeader/>
        </w:trPr>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Field</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Detail</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Authorisation reference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[SP/____/____]</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Company</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[COMPANY NAME]</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Distributor</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[DISTRIBUTOR NAME]</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End customer name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[END CUSTOMER]</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End customer code in Company master</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[____]</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End customer GSTIN</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[____]</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Valid from</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[DD-MMM-YYYY]</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Valid to</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[DD-MMM-YYYY]</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Authorised price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₹[____] per [UNIT], exclusive of GST</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Distributor's acquisition cost</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₹[____] per [UNIT], exclusive of GST</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Recoverable difference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₹[____] per [UNIT]</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Maximum quantity</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[____] units / [No limit]</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Claim window</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[45] days from the date of the sale invoice</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Claim deadline for last qualifying sale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[DD-MMM-YYYY]</w:t>
            </w:r>
          </w:p>
        </w:tc>
      </w:tr>
    </w:tbl>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Four things kill these claims: an expired authorisation, an end-customer identity that does not match the Company's master, a product outside scope after a substitution or supersession, and late filing. Three of the four are prevented by completing this table properly.</w:t>
      </w:r>
    </w:p>
    <w:p>
      <w:pPr>
        <w:pStyle w:val="Heading2"/>
        <w:spacing w:after="120" w:before="220"/>
      </w:pPr>
      <w:r>
        <w:t xml:space="preserve">2  Authorised products</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2100"/>
        <w:gridCol w:w="3300"/>
        <w:gridCol w:w="1700"/>
        <w:gridCol w:w="1500"/>
      </w:tblGrid>
      <w:tr>
        <w:trPr>
          <w:tblHeader/>
        </w:trPr>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Part / SKU code</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Description</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Authorised price</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Superseded by</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bl>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The last column matters in categories with part supersessions. Without it, a superseded part sold after the change falls outside the authorisation and the claim is rejected.</w:t>
      </w:r>
    </w:p>
    <w:p>
      <w:pPr>
        <w:pStyle w:val="Heading2"/>
        <w:spacing w:after="120" w:before="220"/>
      </w:pPr>
      <w:r>
        <w:t xml:space="preserve">3  Claim terms</w:t>
      </w:r>
    </w:p>
    <w:p>
      <w:pPr>
        <w:spacing w:after="60" w:before="160"/>
      </w:pPr>
      <w:r>
        <w:rPr>
          <w:rFonts w:ascii="Calibri" w:cs="Calibri" w:eastAsia="Calibri" w:hAnsi="Calibri"/>
          <w:b/>
          <w:bCs/>
          <w:color w:val="000000"/>
          <w:sz w:val="20"/>
          <w:szCs w:val="20"/>
        </w:rPr>
        <w:t xml:space="preserve">3.1  </w:t>
      </w:r>
      <w:r>
        <w:rPr>
          <w:rFonts w:ascii="Calibri" w:cs="Calibri" w:eastAsia="Calibri" w:hAnsi="Calibri"/>
          <w:b/>
          <w:bCs/>
          <w:color w:val="000000"/>
          <w:sz w:val="20"/>
          <w:szCs w:val="20"/>
        </w:rPr>
        <w:t xml:space="preserve">Entitlement</w:t>
      </w:r>
    </w:p>
    <w:p>
      <w:pPr>
        <w:spacing w:after="80"/>
        <w:ind w:left="460"/>
      </w:pPr>
      <w:r>
        <w:rPr>
          <w:rFonts w:ascii="Calibri" w:cs="Calibri" w:eastAsia="Calibri" w:hAnsi="Calibri"/>
          <w:sz w:val="20"/>
          <w:szCs w:val="20"/>
        </w:rPr>
        <w:t xml:space="preserve">The Distributor may claim the Recoverable Difference for each unit of an Authorised Product supplied to the End Customer at the Authorised Price during the validity period.</w:t>
      </w:r>
    </w:p>
    <w:p>
      <w:pPr>
        <w:spacing w:after="60" w:before="160"/>
      </w:pPr>
      <w:r>
        <w:rPr>
          <w:rFonts w:ascii="Calibri" w:cs="Calibri" w:eastAsia="Calibri" w:hAnsi="Calibri"/>
          <w:b/>
          <w:bCs/>
          <w:color w:val="000000"/>
          <w:sz w:val="20"/>
          <w:szCs w:val="20"/>
        </w:rPr>
        <w:t xml:space="preserve">3.2  </w:t>
      </w:r>
      <w:r>
        <w:rPr>
          <w:rFonts w:ascii="Calibri" w:cs="Calibri" w:eastAsia="Calibri" w:hAnsi="Calibri"/>
          <w:b/>
          <w:bCs/>
          <w:color w:val="000000"/>
          <w:sz w:val="20"/>
          <w:szCs w:val="20"/>
        </w:rPr>
        <w:t xml:space="preserve">Evidence</w:t>
      </w:r>
    </w:p>
    <w:p>
      <w:pPr>
        <w:spacing w:after="80"/>
        <w:ind w:left="460"/>
      </w:pPr>
      <w:r>
        <w:rPr>
          <w:rFonts w:ascii="Calibri" w:cs="Calibri" w:eastAsia="Calibri" w:hAnsi="Calibri"/>
          <w:sz w:val="20"/>
          <w:szCs w:val="20"/>
        </w:rPr>
        <w:t xml:space="preserve">Each claim shall be supported by: the sale invoice, the end customer identity as recorded on that invoice, the quantity, and this authorisation reference.</w:t>
      </w:r>
    </w:p>
    <w:p>
      <w:pPr>
        <w:spacing w:after="60" w:before="160"/>
      </w:pPr>
      <w:r>
        <w:rPr>
          <w:rFonts w:ascii="Calibri" w:cs="Calibri" w:eastAsia="Calibri" w:hAnsi="Calibri"/>
          <w:b/>
          <w:bCs/>
          <w:color w:val="0F766E"/>
          <w:sz w:val="20"/>
          <w:szCs w:val="20"/>
        </w:rPr>
        <w:t xml:space="preserve">3.3  </w:t>
      </w:r>
      <w:r>
        <w:rPr>
          <w:rFonts w:ascii="Calibri" w:cs="Calibri" w:eastAsia="Calibri" w:hAnsi="Calibri"/>
          <w:b/>
          <w:bCs/>
          <w:color w:val="0F766E"/>
          <w:sz w:val="20"/>
          <w:szCs w:val="20"/>
        </w:rPr>
        <w:t xml:space="preserve">Expiry</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Sales made after the Valid To date are not covered by this authorisation. The Company shall notify the Distributor not less than [15] days before expiry where renewal is intended.</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The notification obligation is worth negotiating for. Sales continuing against a lapsed authorisation is the most common single cause of rejected special-pricing claims, and it is entirely preventable by a reminder.</w:t>
      </w:r>
    </w:p>
    <w:p>
      <w:pPr>
        <w:spacing w:after="60" w:before="160"/>
      </w:pPr>
      <w:r>
        <w:rPr>
          <w:rFonts w:ascii="Calibri" w:cs="Calibri" w:eastAsia="Calibri" w:hAnsi="Calibri"/>
          <w:b/>
          <w:bCs/>
          <w:color w:val="000000"/>
          <w:sz w:val="20"/>
          <w:szCs w:val="20"/>
        </w:rPr>
        <w:t xml:space="preserve">3.4  </w:t>
      </w:r>
      <w:r>
        <w:rPr>
          <w:rFonts w:ascii="Calibri" w:cs="Calibri" w:eastAsia="Calibri" w:hAnsi="Calibri"/>
          <w:b/>
          <w:bCs/>
          <w:color w:val="000000"/>
          <w:sz w:val="20"/>
          <w:szCs w:val="20"/>
        </w:rPr>
        <w:t xml:space="preserve">Substitution</w:t>
      </w:r>
    </w:p>
    <w:p>
      <w:pPr>
        <w:spacing w:after="80"/>
        <w:ind w:left="460"/>
      </w:pPr>
      <w:r>
        <w:rPr>
          <w:rFonts w:ascii="Calibri" w:cs="Calibri" w:eastAsia="Calibri" w:hAnsi="Calibri"/>
          <w:sz w:val="20"/>
          <w:szCs w:val="20"/>
        </w:rPr>
        <w:t xml:space="preserve">Where an Authorised Product is unavailable and a substitute is supplied to the End Customer, the substitute shall be covered by this authorisation only where the Company has confirmed it in writing.</w:t>
      </w:r>
    </w:p>
    <w:p>
      <w:pPr>
        <w:pStyle w:val="Heading2"/>
        <w:spacing w:after="120" w:before="220"/>
      </w:pPr>
      <w:r>
        <w:t xml:space="preserve">4  Settlement</w:t>
      </w:r>
    </w:p>
    <w:p>
      <w:pPr>
        <w:spacing w:after="60" w:before="160"/>
      </w:pPr>
      <w:r>
        <w:rPr>
          <w:rFonts w:ascii="Calibri" w:cs="Calibri" w:eastAsia="Calibri" w:hAnsi="Calibri"/>
          <w:b/>
          <w:bCs/>
          <w:color w:val="000000"/>
          <w:sz w:val="20"/>
          <w:szCs w:val="20"/>
        </w:rPr>
        <w:t xml:space="preserve">4.1  </w:t>
      </w:r>
      <w:r>
        <w:rPr>
          <w:rFonts w:ascii="Calibri" w:cs="Calibri" w:eastAsia="Calibri" w:hAnsi="Calibri"/>
          <w:b/>
          <w:bCs/>
          <w:color w:val="000000"/>
          <w:sz w:val="20"/>
          <w:szCs w:val="20"/>
        </w:rPr>
        <w:t xml:space="preserve">Method and timing</w:t>
      </w:r>
    </w:p>
    <w:p>
      <w:pPr>
        <w:spacing w:after="80"/>
        <w:ind w:left="460"/>
      </w:pPr>
      <w:r>
        <w:rPr>
          <w:rFonts w:ascii="Calibri" w:cs="Calibri" w:eastAsia="Calibri" w:hAnsi="Calibri"/>
          <w:sz w:val="20"/>
          <w:szCs w:val="20"/>
        </w:rPr>
        <w:t xml:space="preserve">The Company shall settle approved claims within [30] days of approval by way of credit note.</w:t>
      </w:r>
    </w:p>
    <w:p>
      <w:pPr>
        <w:spacing w:after="80"/>
        <w:ind w:left="460"/>
      </w:pPr>
      <w:r>
        <w:rPr>
          <w:rFonts w:ascii="Calibri" w:cs="Calibri" w:eastAsia="Calibri" w:hAnsi="Calibri"/>
          <w:sz w:val="20"/>
          <w:szCs w:val="20"/>
        </w:rPr>
        <w:t xml:space="preserve">The Company shall validate a claim and either approve it or raise a query within [15] working days of acknowledgement.</w:t>
      </w:r>
    </w:p>
    <w:p>
      <w:pPr>
        <w:spacing w:after="60" w:before="160"/>
      </w:pPr>
      <w:r>
        <w:rPr>
          <w:rFonts w:ascii="Calibri" w:cs="Calibri" w:eastAsia="Calibri" w:hAnsi="Calibri"/>
          <w:b/>
          <w:bCs/>
          <w:color w:val="0F766E"/>
          <w:sz w:val="20"/>
          <w:szCs w:val="20"/>
        </w:rPr>
        <w:t xml:space="preserve">4.2  </w:t>
      </w:r>
      <w:r>
        <w:rPr>
          <w:rFonts w:ascii="Calibri" w:cs="Calibri" w:eastAsia="Calibri" w:hAnsi="Calibri"/>
          <w:b/>
          <w:bCs/>
          <w:color w:val="0F766E"/>
          <w:sz w:val="20"/>
          <w:szCs w:val="20"/>
        </w:rPr>
        <w:t xml:space="preserve">Settlement document reference</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Every credit note issued in settlement shall state the Scheme reference, the Scheme Period and the claim number to which it relates.</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Not a statutory requirement and the highest-leverage clause in the document. A credit note naming only an amount and a date cannot be reconciled, so the claim stays open and may be chased again.</w:t>
      </w:r>
    </w:p>
    <w:p>
      <w:pPr>
        <w:spacing w:after="60" w:before="160"/>
      </w:pPr>
      <w:r>
        <w:rPr>
          <w:rFonts w:ascii="Calibri" w:cs="Calibri" w:eastAsia="Calibri" w:hAnsi="Calibri"/>
          <w:b/>
          <w:bCs/>
          <w:color w:val="000000"/>
          <w:sz w:val="20"/>
          <w:szCs w:val="20"/>
        </w:rPr>
        <w:t xml:space="preserve">4.3  </w:t>
      </w:r>
      <w:r>
        <w:rPr>
          <w:rFonts w:ascii="Calibri" w:cs="Calibri" w:eastAsia="Calibri" w:hAnsi="Calibri"/>
          <w:b/>
          <w:bCs/>
          <w:color w:val="000000"/>
          <w:sz w:val="20"/>
          <w:szCs w:val="20"/>
        </w:rPr>
        <w:t xml:space="preserve">Tax treatment</w:t>
      </w:r>
    </w:p>
    <w:p>
      <w:pPr>
        <w:spacing w:after="80"/>
        <w:ind w:left="460"/>
      </w:pPr>
      <w:r>
        <w:rPr>
          <w:rFonts w:ascii="Calibri" w:cs="Calibri" w:eastAsia="Calibri" w:hAnsi="Calibri"/>
          <w:sz w:val="20"/>
          <w:szCs w:val="20"/>
        </w:rPr>
        <w:t xml:space="preserve">The parties shall agree at the outset whether settlement is to be made by tax credit note or by commercial credit note, and shall record that election in Schedule A.</w:t>
      </w:r>
    </w:p>
    <w:p>
      <w:pPr>
        <w:spacing w:after="80"/>
        <w:ind w:left="460"/>
      </w:pPr>
      <w:r>
        <w:rPr>
          <w:rFonts w:ascii="Calibri" w:cs="Calibri" w:eastAsia="Calibri" w:hAnsi="Calibri"/>
          <w:sz w:val="20"/>
          <w:szCs w:val="20"/>
        </w:rPr>
        <w:t xml:space="preserve">Where settlement is by tax credit note, the Distributor shall reverse the input tax credit attributable to the discount in accordance with applicable law, and shall confirm such reversal to the Company on request.</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Tax positions change. The Finance Act 2026 amends Section 15(3)(b) and Section 34 in respect of post-supply discounts; those amendments had not commenced at the time this template was prepared. Confirm the position in force with a tax advisor before relying on this clause.</w:t>
      </w:r>
    </w:p>
    <w:p>
      <w:pPr>
        <w:spacing w:after="160" w:before="0"/>
      </w:pPr>
      <w:r>
        <w:rPr>
          <w:rFonts w:ascii="Calibri" w:cs="Calibri" w:eastAsia="Calibri" w:hAnsi="Calibri"/>
          <w:sz w:val="20"/>
          <w:szCs w:val="20"/>
        </w:rPr>
        <w:t xml:space="preserve"/>
      </w:r>
    </w:p>
    <w:p>
      <w:pPr>
        <w:pStyle w:val="Heading3"/>
        <w:spacing w:after="100" w:before="180"/>
      </w:pPr>
      <w:r>
        <w:t xml:space="preserve">Execution</w:t>
      </w:r>
    </w:p>
    <w:p>
      <w:pPr>
        <w:spacing w:after="200" w:before="0"/>
      </w:pPr>
      <w:r>
        <w:rPr>
          <w:rFonts w:ascii="Calibri" w:cs="Calibri" w:eastAsia="Calibri" w:hAnsi="Calibri"/>
          <w:sz w:val="20"/>
          <w:szCs w:val="20"/>
        </w:rPr>
        <w:t xml:space="preserve">Signed for and on behalf of the parties by their duly authorised representatives.</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1400"/>
        <w:gridCol w:w="3600"/>
        <w:gridCol w:w="3600"/>
      </w:tblGrid>
      <w:tr>
        <w:trPr>
          <w:tblHeader/>
        </w:trPr>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Supplier / Company</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Distributor / Dealer</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Name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Designation</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Signature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Date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Company seal</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bl>
    <w:p>
      <w:pPr>
        <w:spacing w:after="120" w:before="0"/>
      </w:pPr>
      <w:r>
        <w:rPr>
          <w:rFonts w:ascii="Calibri" w:cs="Calibri" w:eastAsia="Calibri" w:hAnsi="Calibri"/>
          <w:sz w:val="20"/>
          <w:szCs w:val="20"/>
        </w:rPr>
        <w:t xml:space="preserve"/>
      </w:r>
    </w:p>
    <w:p>
      <w:r>
        <w:br w:type="page"/>
      </w:r>
    </w:p>
    <w:p>
      <w:pPr>
        <w:pStyle w:val="Heading1"/>
        <w:spacing w:after="160" w:before="240"/>
      </w:pPr>
      <w:r>
        <w:t xml:space="preserve">7.  Display and Visibility Agreement</w:t>
      </w:r>
    </w:p>
    <w:p>
      <w:pPr>
        <w:pBdr>
          <w:left w:val="single" w:color="0F766E" w:sz="12" w:space="8"/>
        </w:pBdr>
        <w:spacing w:after="200"/>
        <w:ind w:left="288"/>
      </w:pPr>
      <w:r>
        <w:rPr>
          <w:rFonts w:ascii="Calibri" w:cs="Calibri" w:eastAsia="Calibri" w:hAnsi="Calibri"/>
          <w:b/>
          <w:bCs/>
          <w:color w:val="0F766E"/>
          <w:sz w:val="17"/>
          <w:szCs w:val="17"/>
        </w:rPr>
        <w:t xml:space="preserve">WHEN TO USE  </w:t>
      </w:r>
      <w:r>
        <w:rPr>
          <w:rFonts w:ascii="Calibri" w:cs="Calibri" w:eastAsia="Calibri" w:hAnsi="Calibri"/>
          <w:i/>
          <w:iCs/>
          <w:sz w:val="19"/>
          <w:szCs w:val="19"/>
        </w:rPr>
        <w:t xml:space="preserve">Pays for product placement in named outlets for a defined period. The money is easy to agree and hard to claim, because the entitlement depends on evidence collected while the display is up.</w:t>
      </w:r>
    </w:p>
    <w:p>
      <w:pPr>
        <w:pStyle w:val="Heading2"/>
        <w:spacing w:after="120" w:before="220"/>
      </w:pPr>
      <w:r>
        <w:t xml:space="preserve">1  Particulars</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3200"/>
        <w:gridCol w:w="5400"/>
      </w:tblGrid>
      <w:tr>
        <w:trPr>
          <w:tblHeader/>
        </w:trPr>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Field</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Detail</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Agreement reference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[DSP/____/____]</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Period</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[DD-MMM-YYYY] to [DD-MMM-YYYY]</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Position</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[END-CAP / GONDOLA / CHECKOUT / SHELF — state facings]</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Number of outlets</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[____] (listed in Annexure 1)</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Rate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₹[____] per outlet per [MONTH]</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Total value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₹[____]</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Who pays the outlet</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[COMPANY / DISTRIBUTOR, recovered by claim]</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Merchandising labour</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[COMPANY / DISTRIBUTOR / Agency at ₹____]</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Claim window</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[30] days from period end</w:t>
            </w:r>
          </w:p>
        </w:tc>
      </w:tr>
    </w:tbl>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The merchandising row is routinely omitted, and the distributor then absorbs the labour cost. The space and the work of building and maintaining the display are separate costs.</w:t>
      </w:r>
    </w:p>
    <w:p>
      <w:pPr>
        <w:pStyle w:val="Heading2"/>
        <w:spacing w:after="120" w:before="220"/>
      </w:pPr>
      <w:r>
        <w:t xml:space="preserve">2  Evidence</w:t>
      </w:r>
    </w:p>
    <w:p>
      <w:pPr>
        <w:spacing w:after="60" w:before="160"/>
      </w:pPr>
      <w:r>
        <w:rPr>
          <w:rFonts w:ascii="Calibri" w:cs="Calibri" w:eastAsia="Calibri" w:hAnsi="Calibri"/>
          <w:b/>
          <w:bCs/>
          <w:color w:val="0F766E"/>
          <w:sz w:val="20"/>
          <w:szCs w:val="20"/>
        </w:rPr>
        <w:t xml:space="preserve">2.1  </w:t>
      </w:r>
      <w:r>
        <w:rPr>
          <w:rFonts w:ascii="Calibri" w:cs="Calibri" w:eastAsia="Calibri" w:hAnsi="Calibri"/>
          <w:b/>
          <w:bCs/>
          <w:color w:val="0F766E"/>
          <w:sz w:val="20"/>
          <w:szCs w:val="20"/>
        </w:rPr>
        <w:t xml:space="preserve">Required evidence</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The Distributor shall provide [3] photographs per outlet — one within the first week of the period, one at mid-period, and one in the final week.</w:t>
      </w:r>
    </w:p>
    <w:p>
      <w:pPr>
        <w:spacing w:after="80"/>
        <w:ind w:left="460"/>
      </w:pPr>
      <w:r>
        <w:rPr>
          <w:rFonts w:ascii="Calibri" w:cs="Calibri" w:eastAsia="Calibri" w:hAnsi="Calibri"/>
          <w:sz w:val="20"/>
          <w:szCs w:val="20"/>
        </w:rPr>
        <w:t xml:space="preserve">Each photograph must show a visible date, the agreed position, the Qualifying Products in place, and the outlet identifiable by its name board or by a shot wide enough to place it.</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Specify the evidence precisely enough that both parties can determine whether it has been met. 'Photographic evidence' is not a specification. A single undated photograph proves a display existed at one moment; the agreement paid for a period.</w:t>
      </w:r>
    </w:p>
    <w:p>
      <w:pPr>
        <w:spacing w:after="60" w:before="160"/>
      </w:pPr>
      <w:r>
        <w:rPr>
          <w:rFonts w:ascii="Calibri" w:cs="Calibri" w:eastAsia="Calibri" w:hAnsi="Calibri"/>
          <w:b/>
          <w:bCs/>
          <w:color w:val="000000"/>
          <w:sz w:val="20"/>
          <w:szCs w:val="20"/>
        </w:rPr>
        <w:t xml:space="preserve">2.2  </w:t>
      </w:r>
      <w:r>
        <w:rPr>
          <w:rFonts w:ascii="Calibri" w:cs="Calibri" w:eastAsia="Calibri" w:hAnsi="Calibri"/>
          <w:b/>
          <w:bCs/>
          <w:color w:val="000000"/>
          <w:sz w:val="20"/>
          <w:szCs w:val="20"/>
        </w:rPr>
        <w:t xml:space="preserve">Not accepted</w:t>
      </w:r>
    </w:p>
    <w:p>
      <w:pPr>
        <w:spacing w:after="80"/>
        <w:ind w:left="460"/>
      </w:pPr>
      <w:r>
        <w:rPr>
          <w:rFonts w:ascii="Calibri" w:cs="Calibri" w:eastAsia="Calibri" w:hAnsi="Calibri"/>
          <w:sz w:val="20"/>
          <w:szCs w:val="20"/>
        </w:rPr>
        <w:t xml:space="preserve">Undated photographs, a single photograph for a period-long display, images with no identifiable location, and verbal confirmation shall not be accepted as evidence.</w:t>
      </w:r>
    </w:p>
    <w:p>
      <w:pPr>
        <w:spacing w:after="60" w:before="160"/>
      </w:pPr>
      <w:r>
        <w:rPr>
          <w:rFonts w:ascii="Calibri" w:cs="Calibri" w:eastAsia="Calibri" w:hAnsi="Calibri"/>
          <w:b/>
          <w:bCs/>
          <w:color w:val="0F766E"/>
          <w:sz w:val="20"/>
          <w:szCs w:val="20"/>
        </w:rPr>
        <w:t xml:space="preserve">2.3  </w:t>
      </w:r>
      <w:r>
        <w:rPr>
          <w:rFonts w:ascii="Calibri" w:cs="Calibri" w:eastAsia="Calibri" w:hAnsi="Calibri"/>
          <w:b/>
          <w:bCs/>
          <w:color w:val="0F766E"/>
          <w:sz w:val="20"/>
          <w:szCs w:val="20"/>
        </w:rPr>
        <w:t xml:space="preserve">Compliance</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Where a display is removed or materially altered before the end of the period, the fee shall be payable pro rata for the period the display was in place, subject to a minimum of [____] weeks.</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Most display agreements have no compliance clause, which leaves early removal to negotiation. Agreeing pro-rating in advance is better than arguing it afterwards.</w:t>
      </w:r>
    </w:p>
    <w:p>
      <w:pPr>
        <w:pStyle w:val="Heading2"/>
        <w:spacing w:after="120" w:before="220"/>
      </w:pPr>
      <w:r>
        <w:t xml:space="preserve">3  Tax characterisation</w:t>
      </w:r>
    </w:p>
    <w:p>
      <w:pPr>
        <w:spacing w:after="60" w:before="160"/>
      </w:pPr>
      <w:r>
        <w:rPr>
          <w:rFonts w:ascii="Calibri" w:cs="Calibri" w:eastAsia="Calibri" w:hAnsi="Calibri"/>
          <w:b/>
          <w:bCs/>
          <w:color w:val="000000"/>
          <w:sz w:val="20"/>
          <w:szCs w:val="20"/>
        </w:rPr>
        <w:t xml:space="preserve">3.1  </w:t>
      </w:r>
      <w:r>
        <w:rPr>
          <w:rFonts w:ascii="Calibri" w:cs="Calibri" w:eastAsia="Calibri" w:hAnsi="Calibri"/>
          <w:b/>
          <w:bCs/>
          <w:color w:val="000000"/>
          <w:sz w:val="20"/>
          <w:szCs w:val="20"/>
        </w:rPr>
        <w:t xml:space="preserve">Nature of the payment</w:t>
      </w:r>
    </w:p>
    <w:p>
      <w:pPr>
        <w:spacing w:after="80"/>
        <w:ind w:left="460"/>
      </w:pPr>
      <w:r>
        <w:rPr>
          <w:rFonts w:ascii="Calibri" w:cs="Calibri" w:eastAsia="Calibri" w:hAnsi="Calibri"/>
          <w:sz w:val="20"/>
          <w:szCs w:val="20"/>
        </w:rPr>
        <w:t xml:space="preserve">The parties record that the payments under this Agreement are consideration for promotional services performed by the Distributor and/or the outlet, and are not a discount on the price of goods.</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Display and visibility payments are generally payments for an activity performed rather than a reduction in the price of goods, which changes the document required and the credit position. There may also be tax deduction obligations on benefits and perquisites arising from business. Confirm both with a tax advisor.</w:t>
      </w:r>
    </w:p>
    <w:p>
      <w:pPr>
        <w:pStyle w:val="Heading2"/>
        <w:spacing w:after="120" w:before="220"/>
      </w:pPr>
      <w:r>
        <w:t xml:space="preserve">4  Standard terms</w:t>
      </w:r>
    </w:p>
    <w:p>
      <w:pPr>
        <w:spacing w:after="60" w:before="160"/>
      </w:pPr>
      <w:r>
        <w:rPr>
          <w:rFonts w:ascii="Calibri" w:cs="Calibri" w:eastAsia="Calibri" w:hAnsi="Calibri"/>
          <w:b/>
          <w:bCs/>
          <w:color w:val="000000"/>
          <w:sz w:val="20"/>
          <w:szCs w:val="20"/>
        </w:rPr>
        <w:t xml:space="preserve">4.1  </w:t>
      </w:r>
      <w:r>
        <w:rPr>
          <w:rFonts w:ascii="Calibri" w:cs="Calibri" w:eastAsia="Calibri" w:hAnsi="Calibri"/>
          <w:b/>
          <w:bCs/>
          <w:color w:val="000000"/>
          <w:sz w:val="20"/>
          <w:szCs w:val="20"/>
        </w:rPr>
        <w:t xml:space="preserve">Amendment</w:t>
      </w:r>
    </w:p>
    <w:p>
      <w:pPr>
        <w:spacing w:after="80"/>
        <w:ind w:left="460"/>
      </w:pPr>
      <w:r>
        <w:rPr>
          <w:rFonts w:ascii="Calibri" w:cs="Calibri" w:eastAsia="Calibri" w:hAnsi="Calibri"/>
          <w:sz w:val="20"/>
          <w:szCs w:val="20"/>
        </w:rPr>
        <w:t xml:space="preserve">Clause 3.5 of the Master Trade Terms Agreement applies.</w:t>
      </w:r>
    </w:p>
    <w:p>
      <w:pPr>
        <w:spacing w:after="60" w:before="160"/>
      </w:pPr>
      <w:r>
        <w:rPr>
          <w:rFonts w:ascii="Calibri" w:cs="Calibri" w:eastAsia="Calibri" w:hAnsi="Calibri"/>
          <w:b/>
          <w:bCs/>
          <w:color w:val="0F766E"/>
          <w:sz w:val="20"/>
          <w:szCs w:val="20"/>
        </w:rPr>
        <w:t xml:space="preserve">4.2  </w:t>
      </w:r>
      <w:r>
        <w:rPr>
          <w:rFonts w:ascii="Calibri" w:cs="Calibri" w:eastAsia="Calibri" w:hAnsi="Calibri"/>
          <w:b/>
          <w:bCs/>
          <w:color w:val="0F766E"/>
          <w:sz w:val="20"/>
          <w:szCs w:val="20"/>
        </w:rPr>
        <w:t xml:space="preserve">Claim window</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Claims shall be submitted within [30] days of the end of the period. Submission is complete on the Company's written acknowledgement.</w:t>
      </w:r>
    </w:p>
    <w:p>
      <w:pPr>
        <w:spacing w:after="160" w:before="0"/>
      </w:pPr>
      <w:r>
        <w:rPr>
          <w:rFonts w:ascii="Calibri" w:cs="Calibri" w:eastAsia="Calibri" w:hAnsi="Calibri"/>
          <w:sz w:val="20"/>
          <w:szCs w:val="20"/>
        </w:rPr>
        <w:t xml:space="preserve"/>
      </w:r>
    </w:p>
    <w:p>
      <w:pPr>
        <w:pStyle w:val="Heading2"/>
        <w:spacing w:after="120" w:before="220"/>
      </w:pPr>
      <w:r>
        <w:t xml:space="preserve">Annexure 1 — Outlets</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1500"/>
        <w:gridCol w:w="2900"/>
        <w:gridCol w:w="1500"/>
        <w:gridCol w:w="1500"/>
        <w:gridCol w:w="1200"/>
      </w:tblGrid>
      <w:tr>
        <w:trPr>
          <w:tblHeader/>
        </w:trPr>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Outlet code</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Outlet name</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Town</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Position</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Rate per month</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bl>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Name the outlets by code. 'The top 50 outlets in the territory' is not a list, and the claim will be disputed on outlet count.</w:t>
      </w:r>
    </w:p>
    <w:p>
      <w:pPr>
        <w:spacing w:after="160" w:before="0"/>
      </w:pPr>
      <w:r>
        <w:rPr>
          <w:rFonts w:ascii="Calibri" w:cs="Calibri" w:eastAsia="Calibri" w:hAnsi="Calibri"/>
          <w:sz w:val="20"/>
          <w:szCs w:val="20"/>
        </w:rPr>
        <w:t xml:space="preserve"/>
      </w:r>
    </w:p>
    <w:p>
      <w:pPr>
        <w:pStyle w:val="Heading3"/>
        <w:spacing w:after="100" w:before="180"/>
      </w:pPr>
      <w:r>
        <w:t xml:space="preserve">Execution</w:t>
      </w:r>
    </w:p>
    <w:p>
      <w:pPr>
        <w:spacing w:after="200" w:before="0"/>
      </w:pPr>
      <w:r>
        <w:rPr>
          <w:rFonts w:ascii="Calibri" w:cs="Calibri" w:eastAsia="Calibri" w:hAnsi="Calibri"/>
          <w:sz w:val="20"/>
          <w:szCs w:val="20"/>
        </w:rPr>
        <w:t xml:space="preserve">Signed for and on behalf of the parties by their duly authorised representatives.</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1400"/>
        <w:gridCol w:w="3600"/>
        <w:gridCol w:w="3600"/>
      </w:tblGrid>
      <w:tr>
        <w:trPr>
          <w:tblHeader/>
        </w:trPr>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Supplier / Company</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Distributor / Dealer</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Name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Designation</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Signature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Date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Company seal</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bl>
    <w:p>
      <w:pPr>
        <w:spacing w:after="120" w:before="0"/>
      </w:pPr>
      <w:r>
        <w:rPr>
          <w:rFonts w:ascii="Calibri" w:cs="Calibri" w:eastAsia="Calibri" w:hAnsi="Calibri"/>
          <w:sz w:val="20"/>
          <w:szCs w:val="20"/>
        </w:rPr>
        <w:t xml:space="preserve"/>
      </w:r>
    </w:p>
    <w:p>
      <w:r>
        <w:br w:type="page"/>
      </w:r>
    </w:p>
    <w:p>
      <w:pPr>
        <w:pStyle w:val="Heading1"/>
        <w:spacing w:after="160" w:before="240"/>
      </w:pPr>
      <w:r>
        <w:t xml:space="preserve">8.  Price Protection Agreement</w:t>
      </w:r>
    </w:p>
    <w:p>
      <w:pPr>
        <w:pBdr>
          <w:left w:val="single" w:color="0F766E" w:sz="12" w:space="8"/>
        </w:pBdr>
        <w:spacing w:after="200"/>
        <w:ind w:left="288"/>
      </w:pPr>
      <w:r>
        <w:rPr>
          <w:rFonts w:ascii="Calibri" w:cs="Calibri" w:eastAsia="Calibri" w:hAnsi="Calibri"/>
          <w:b/>
          <w:bCs/>
          <w:color w:val="0F766E"/>
          <w:sz w:val="17"/>
          <w:szCs w:val="17"/>
        </w:rPr>
        <w:t xml:space="preserve">WHEN TO USE  </w:t>
      </w:r>
      <w:r>
        <w:rPr>
          <w:rFonts w:ascii="Calibri" w:cs="Calibri" w:eastAsia="Calibri" w:hAnsi="Calibri"/>
          <w:i/>
          <w:iCs/>
          <w:sz w:val="19"/>
          <w:szCs w:val="19"/>
        </w:rPr>
        <w:t xml:space="preserve">Compensates a distributor for the value lost on stock held when the company's price falls. Not an incentive — insurance, and it should be read as such.</w:t>
      </w:r>
    </w:p>
    <w:p>
      <w:pPr>
        <w:pStyle w:val="Heading2"/>
        <w:spacing w:after="120" w:before="220"/>
      </w:pPr>
      <w:r>
        <w:t xml:space="preserve">1  Particulars</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3000"/>
        <w:gridCol w:w="5600"/>
      </w:tblGrid>
      <w:tr>
        <w:trPr>
          <w:tblHeader/>
        </w:trPr>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Field</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Detail</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Agreement reference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[PP/____/____]</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Covered products</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[ALL / Annexure 1]</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Coverage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Stock held by the Distributor on the effective date of a price reduction</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Stock cut-off</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Stock held as at close of business on [the day before] the effective date</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Compensation</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The reduction per unit × qualifying quantity</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Maximum cover</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[____] days of stock at [average / agreed] offtake / [No limit]</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Notice of price change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[7] days</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Claim window</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[15] days from the effective date of the price change</w:t>
            </w:r>
          </w:p>
        </w:tc>
      </w:tr>
    </w:tbl>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The 'maximum cover' row is the one companies insist on and distributors forget to check. Without it, cover is unlimited; with it, stock beyond the stated cover is at the distributor's risk.</w:t>
      </w:r>
    </w:p>
    <w:p>
      <w:pPr>
        <w:pStyle w:val="Heading2"/>
        <w:spacing w:after="120" w:before="220"/>
      </w:pPr>
      <w:r>
        <w:t xml:space="preserve">2  Stock evidence</w:t>
      </w:r>
    </w:p>
    <w:p>
      <w:pPr>
        <w:spacing w:after="60" w:before="160"/>
      </w:pPr>
      <w:r>
        <w:rPr>
          <w:rFonts w:ascii="Calibri" w:cs="Calibri" w:eastAsia="Calibri" w:hAnsi="Calibri"/>
          <w:b/>
          <w:bCs/>
          <w:color w:val="0F766E"/>
          <w:sz w:val="20"/>
          <w:szCs w:val="20"/>
        </w:rPr>
        <w:t xml:space="preserve">2.1  </w:t>
      </w:r>
      <w:r>
        <w:rPr>
          <w:rFonts w:ascii="Calibri" w:cs="Calibri" w:eastAsia="Calibri" w:hAnsi="Calibri"/>
          <w:b/>
          <w:bCs/>
          <w:color w:val="0F766E"/>
          <w:sz w:val="20"/>
          <w:szCs w:val="20"/>
        </w:rPr>
        <w:t xml:space="preserve">Stock statement</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The Distributor shall submit a stock statement as at the cut-off date, product-wise and batch-wise, within [7] days of the effective date of the price change.</w:t>
      </w:r>
    </w:p>
    <w:p>
      <w:pPr>
        <w:spacing w:after="80"/>
        <w:ind w:left="460"/>
      </w:pPr>
      <w:r>
        <w:rPr>
          <w:rFonts w:ascii="Calibri" w:cs="Calibri" w:eastAsia="Calibri" w:hAnsi="Calibri"/>
          <w:sz w:val="20"/>
          <w:szCs w:val="20"/>
        </w:rPr>
        <w:t xml:space="preserve">The statement shall reconcile to the Distributor's stock ledger, and the Company may verify it physically within [15] days.</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Price protection is validated on a stock position at a specific moment. Reconstructing that position weeks later, after movement, is unreliable and disputable — which is why the seven-day requirement matters more than it appears.</w:t>
      </w:r>
    </w:p>
    <w:p>
      <w:pPr>
        <w:spacing w:after="60" w:before="160"/>
      </w:pPr>
      <w:r>
        <w:rPr>
          <w:rFonts w:ascii="Calibri" w:cs="Calibri" w:eastAsia="Calibri" w:hAnsi="Calibri"/>
          <w:b/>
          <w:bCs/>
          <w:color w:val="0F766E"/>
          <w:sz w:val="20"/>
          <w:szCs w:val="20"/>
        </w:rPr>
        <w:t xml:space="preserve">2.2  </w:t>
      </w:r>
      <w:r>
        <w:rPr>
          <w:rFonts w:ascii="Calibri" w:cs="Calibri" w:eastAsia="Calibri" w:hAnsi="Calibri"/>
          <w:b/>
          <w:bCs/>
          <w:color w:val="0F766E"/>
          <w:sz w:val="20"/>
          <w:szCs w:val="20"/>
        </w:rPr>
        <w:t xml:space="preserve">Goods in transit</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Stock despatched by the Company before the effective date and received by the Distributor after it shall [be covered / not be covered].</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Goods in transit across a price change are the standard dispute. State the position.</w:t>
      </w:r>
    </w:p>
    <w:p>
      <w:pPr>
        <w:spacing w:after="60" w:before="160"/>
      </w:pPr>
      <w:r>
        <w:rPr>
          <w:rFonts w:ascii="Calibri" w:cs="Calibri" w:eastAsia="Calibri" w:hAnsi="Calibri"/>
          <w:b/>
          <w:bCs/>
          <w:color w:val="000000"/>
          <w:sz w:val="20"/>
          <w:szCs w:val="20"/>
        </w:rPr>
        <w:t xml:space="preserve">2.3  </w:t>
      </w:r>
      <w:r>
        <w:rPr>
          <w:rFonts w:ascii="Calibri" w:cs="Calibri" w:eastAsia="Calibri" w:hAnsi="Calibri"/>
          <w:b/>
          <w:bCs/>
          <w:color w:val="000000"/>
          <w:sz w:val="20"/>
          <w:szCs w:val="20"/>
        </w:rPr>
        <w:t xml:space="preserve">Notice</w:t>
      </w:r>
    </w:p>
    <w:p>
      <w:pPr>
        <w:spacing w:after="80"/>
        <w:ind w:left="460"/>
      </w:pPr>
      <w:r>
        <w:rPr>
          <w:rFonts w:ascii="Calibri" w:cs="Calibri" w:eastAsia="Calibri" w:hAnsi="Calibri"/>
          <w:sz w:val="20"/>
          <w:szCs w:val="20"/>
        </w:rPr>
        <w:t xml:space="preserve">The Company shall give not less than [7] days' written notice of any price reduction affecting Covered Products.</w:t>
      </w:r>
    </w:p>
    <w:p>
      <w:pPr>
        <w:pStyle w:val="Heading2"/>
        <w:spacing w:after="120" w:before="220"/>
      </w:pPr>
      <w:r>
        <w:t xml:space="preserve">3  Interaction with other claims</w:t>
      </w:r>
    </w:p>
    <w:p>
      <w:pPr>
        <w:spacing w:after="60" w:before="160"/>
      </w:pPr>
      <w:r>
        <w:rPr>
          <w:rFonts w:ascii="Calibri" w:cs="Calibri" w:eastAsia="Calibri" w:hAnsi="Calibri"/>
          <w:b/>
          <w:bCs/>
          <w:color w:val="0F766E"/>
          <w:sz w:val="20"/>
          <w:szCs w:val="20"/>
        </w:rPr>
        <w:t xml:space="preserve">3.1  </w:t>
      </w:r>
      <w:r>
        <w:rPr>
          <w:rFonts w:ascii="Calibri" w:cs="Calibri" w:eastAsia="Calibri" w:hAnsi="Calibri"/>
          <w:b/>
          <w:bCs/>
          <w:color w:val="0F766E"/>
          <w:sz w:val="20"/>
          <w:szCs w:val="20"/>
        </w:rPr>
        <w:t xml:space="preserve">No double recovery</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Where compensation is paid under this Agreement in respect of a unit, no markdown, clearance or rate-difference claim shall be made in respect of the same unit for the same price movement.</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A price fall can trigger both price protection on stock held and a markdown claim on units subsequently sold. Claiming both on the same units for the same movement is claiming twice, and it is worth being explicit about.</w:t>
      </w:r>
    </w:p>
    <w:p>
      <w:pPr>
        <w:pStyle w:val="Heading2"/>
        <w:spacing w:after="120" w:before="220"/>
      </w:pPr>
      <w:r>
        <w:t xml:space="preserve">4  Settlement</w:t>
      </w:r>
    </w:p>
    <w:p>
      <w:pPr>
        <w:spacing w:after="60" w:before="160"/>
      </w:pPr>
      <w:r>
        <w:rPr>
          <w:rFonts w:ascii="Calibri" w:cs="Calibri" w:eastAsia="Calibri" w:hAnsi="Calibri"/>
          <w:b/>
          <w:bCs/>
          <w:color w:val="000000"/>
          <w:sz w:val="20"/>
          <w:szCs w:val="20"/>
        </w:rPr>
        <w:t xml:space="preserve">4.1  </w:t>
      </w:r>
      <w:r>
        <w:rPr>
          <w:rFonts w:ascii="Calibri" w:cs="Calibri" w:eastAsia="Calibri" w:hAnsi="Calibri"/>
          <w:b/>
          <w:bCs/>
          <w:color w:val="000000"/>
          <w:sz w:val="20"/>
          <w:szCs w:val="20"/>
        </w:rPr>
        <w:t xml:space="preserve">Method and timing</w:t>
      </w:r>
    </w:p>
    <w:p>
      <w:pPr>
        <w:spacing w:after="80"/>
        <w:ind w:left="460"/>
      </w:pPr>
      <w:r>
        <w:rPr>
          <w:rFonts w:ascii="Calibri" w:cs="Calibri" w:eastAsia="Calibri" w:hAnsi="Calibri"/>
          <w:sz w:val="20"/>
          <w:szCs w:val="20"/>
        </w:rPr>
        <w:t xml:space="preserve">The Company shall settle approved claims within [30] days of approval by way of credit note.</w:t>
      </w:r>
    </w:p>
    <w:p>
      <w:pPr>
        <w:spacing w:after="80"/>
        <w:ind w:left="460"/>
      </w:pPr>
      <w:r>
        <w:rPr>
          <w:rFonts w:ascii="Calibri" w:cs="Calibri" w:eastAsia="Calibri" w:hAnsi="Calibri"/>
          <w:sz w:val="20"/>
          <w:szCs w:val="20"/>
        </w:rPr>
        <w:t xml:space="preserve">The Company shall validate a claim and either approve it or raise a query within [15] working days of acknowledgement.</w:t>
      </w:r>
    </w:p>
    <w:p>
      <w:pPr>
        <w:spacing w:after="60" w:before="160"/>
      </w:pPr>
      <w:r>
        <w:rPr>
          <w:rFonts w:ascii="Calibri" w:cs="Calibri" w:eastAsia="Calibri" w:hAnsi="Calibri"/>
          <w:b/>
          <w:bCs/>
          <w:color w:val="0F766E"/>
          <w:sz w:val="20"/>
          <w:szCs w:val="20"/>
        </w:rPr>
        <w:t xml:space="preserve">4.2  </w:t>
      </w:r>
      <w:r>
        <w:rPr>
          <w:rFonts w:ascii="Calibri" w:cs="Calibri" w:eastAsia="Calibri" w:hAnsi="Calibri"/>
          <w:b/>
          <w:bCs/>
          <w:color w:val="0F766E"/>
          <w:sz w:val="20"/>
          <w:szCs w:val="20"/>
        </w:rPr>
        <w:t xml:space="preserve">Settlement document reference</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Every credit note issued in settlement shall state the Scheme reference, the Scheme Period and the claim number to which it relates.</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Not a statutory requirement and the highest-leverage clause in the document. A credit note naming only an amount and a date cannot be reconciled, so the claim stays open and may be chased again.</w:t>
      </w:r>
    </w:p>
    <w:p>
      <w:pPr>
        <w:spacing w:after="60" w:before="160"/>
      </w:pPr>
      <w:r>
        <w:rPr>
          <w:rFonts w:ascii="Calibri" w:cs="Calibri" w:eastAsia="Calibri" w:hAnsi="Calibri"/>
          <w:b/>
          <w:bCs/>
          <w:color w:val="000000"/>
          <w:sz w:val="20"/>
          <w:szCs w:val="20"/>
        </w:rPr>
        <w:t xml:space="preserve">4.3  </w:t>
      </w:r>
      <w:r>
        <w:rPr>
          <w:rFonts w:ascii="Calibri" w:cs="Calibri" w:eastAsia="Calibri" w:hAnsi="Calibri"/>
          <w:b/>
          <w:bCs/>
          <w:color w:val="000000"/>
          <w:sz w:val="20"/>
          <w:szCs w:val="20"/>
        </w:rPr>
        <w:t xml:space="preserve">Tax treatment</w:t>
      </w:r>
    </w:p>
    <w:p>
      <w:pPr>
        <w:spacing w:after="80"/>
        <w:ind w:left="460"/>
      </w:pPr>
      <w:r>
        <w:rPr>
          <w:rFonts w:ascii="Calibri" w:cs="Calibri" w:eastAsia="Calibri" w:hAnsi="Calibri"/>
          <w:sz w:val="20"/>
          <w:szCs w:val="20"/>
        </w:rPr>
        <w:t xml:space="preserve">The parties shall agree at the outset whether settlement is to be made by tax credit note or by commercial credit note, and shall record that election in Schedule A.</w:t>
      </w:r>
    </w:p>
    <w:p>
      <w:pPr>
        <w:spacing w:after="80"/>
        <w:ind w:left="460"/>
      </w:pPr>
      <w:r>
        <w:rPr>
          <w:rFonts w:ascii="Calibri" w:cs="Calibri" w:eastAsia="Calibri" w:hAnsi="Calibri"/>
          <w:sz w:val="20"/>
          <w:szCs w:val="20"/>
        </w:rPr>
        <w:t xml:space="preserve">Where settlement is by tax credit note, the Distributor shall reverse the input tax credit attributable to the discount in accordance with applicable law, and shall confirm such reversal to the Company on request.</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Tax positions change. The Finance Act 2026 amends Section 15(3)(b) and Section 34 in respect of post-supply discounts; those amendments had not commenced at the time this template was prepared. Confirm the position in force with a tax advisor before relying on this clause.</w:t>
      </w:r>
    </w:p>
    <w:p>
      <w:pPr>
        <w:spacing w:after="160" w:before="0"/>
      </w:pPr>
      <w:r>
        <w:rPr>
          <w:rFonts w:ascii="Calibri" w:cs="Calibri" w:eastAsia="Calibri" w:hAnsi="Calibri"/>
          <w:sz w:val="20"/>
          <w:szCs w:val="20"/>
        </w:rPr>
        <w:t xml:space="preserve"/>
      </w:r>
    </w:p>
    <w:p>
      <w:pPr>
        <w:pStyle w:val="Heading3"/>
        <w:spacing w:after="100" w:before="180"/>
      </w:pPr>
      <w:r>
        <w:t xml:space="preserve">Execution</w:t>
      </w:r>
    </w:p>
    <w:p>
      <w:pPr>
        <w:spacing w:after="200" w:before="0"/>
      </w:pPr>
      <w:r>
        <w:rPr>
          <w:rFonts w:ascii="Calibri" w:cs="Calibri" w:eastAsia="Calibri" w:hAnsi="Calibri"/>
          <w:sz w:val="20"/>
          <w:szCs w:val="20"/>
        </w:rPr>
        <w:t xml:space="preserve">Signed for and on behalf of the parties by their duly authorised representatives.</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1400"/>
        <w:gridCol w:w="3600"/>
        <w:gridCol w:w="3600"/>
      </w:tblGrid>
      <w:tr>
        <w:trPr>
          <w:tblHeader/>
        </w:trPr>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Supplier / Company</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Distributor / Dealer</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Name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Designation</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Signature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Date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Company seal</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bl>
    <w:p>
      <w:pPr>
        <w:spacing w:after="120" w:before="0"/>
      </w:pPr>
      <w:r>
        <w:rPr>
          <w:rFonts w:ascii="Calibri" w:cs="Calibri" w:eastAsia="Calibri" w:hAnsi="Calibri"/>
          <w:sz w:val="20"/>
          <w:szCs w:val="20"/>
        </w:rPr>
        <w:t xml:space="preserve"/>
      </w:r>
    </w:p>
    <w:p>
      <w:r>
        <w:br w:type="page"/>
      </w:r>
    </w:p>
    <w:p>
      <w:pPr>
        <w:pStyle w:val="Heading1"/>
        <w:spacing w:after="160" w:before="240"/>
      </w:pPr>
      <w:r>
        <w:t xml:space="preserve">9.  Expiry, Damage and Breakage Allowance Agreement</w:t>
      </w:r>
    </w:p>
    <w:p>
      <w:pPr>
        <w:pBdr>
          <w:left w:val="single" w:color="0F766E" w:sz="12" w:space="8"/>
        </w:pBdr>
        <w:spacing w:after="200"/>
        <w:ind w:left="288"/>
      </w:pPr>
      <w:r>
        <w:rPr>
          <w:rFonts w:ascii="Calibri" w:cs="Calibri" w:eastAsia="Calibri" w:hAnsi="Calibri"/>
          <w:b/>
          <w:bCs/>
          <w:color w:val="0F766E"/>
          <w:sz w:val="17"/>
          <w:szCs w:val="17"/>
        </w:rPr>
        <w:t xml:space="preserve">WHEN TO USE  </w:t>
      </w:r>
      <w:r>
        <w:rPr>
          <w:rFonts w:ascii="Calibri" w:cs="Calibri" w:eastAsia="Calibri" w:hAnsi="Calibri"/>
          <w:i/>
          <w:iCs/>
          <w:sz w:val="19"/>
          <w:szCs w:val="19"/>
        </w:rPr>
        <w:t xml:space="preserve">Sets the norms for stock that expires unsold or is damaged. Both fail on the same thing — batch-level records nobody kept.</w:t>
      </w:r>
    </w:p>
    <w:p>
      <w:pPr>
        <w:pStyle w:val="Heading2"/>
        <w:spacing w:after="120" w:before="220"/>
      </w:pPr>
      <w:r>
        <w:t xml:space="preserve">1  Particulars</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3400"/>
        <w:gridCol w:w="5200"/>
      </w:tblGrid>
      <w:tr>
        <w:trPr>
          <w:tblHeader/>
        </w:trPr>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Field</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Detail</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Agreement reference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[EXP/____/____]</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Expiry norm</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[____]% of Qualifying Purchase Value per [YEAR]</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Norm structure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[CAP — claim actual up to the norm / FIXED — credited regardless / CLAW-BACK]</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Breakage and damage norm</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[____]% of Qualifying Purchase Value per [YEAR]</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Return or destruction</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[RETURN TO COMPANY / DESTRUCTION WITH CERTIFICATE]</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Minimum residual shelf life at despatch</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[____]% of total shelf life</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Claim frequency</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[MONTHLY / QUARTERLY]</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Claim window</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[30] days from period end</w:t>
            </w:r>
          </w:p>
        </w:tc>
      </w:tr>
    </w:tbl>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The norm structure row changes behaviour completely. Under a cap, keeping expiry low only avoids a loss. Under a fixed allowance, every point of expiry prevented is money the distributor keeps. Distributors should ask which applies; most agreements do not say.</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The minimum residual shelf life row is the distributor's main protection. Goods arriving with a third of their shelf life already gone transfer the company's ageing problem down the chain, and the norm rarely covers it.</w:t>
      </w:r>
    </w:p>
    <w:p>
      <w:pPr>
        <w:pStyle w:val="Heading2"/>
        <w:spacing w:after="120" w:before="220"/>
      </w:pPr>
      <w:r>
        <w:t xml:space="preserve">2  Evidence</w:t>
      </w:r>
    </w:p>
    <w:p>
      <w:pPr>
        <w:spacing w:after="60" w:before="160"/>
      </w:pPr>
      <w:r>
        <w:rPr>
          <w:rFonts w:ascii="Calibri" w:cs="Calibri" w:eastAsia="Calibri" w:hAnsi="Calibri"/>
          <w:b/>
          <w:bCs/>
          <w:color w:val="0F766E"/>
          <w:sz w:val="20"/>
          <w:szCs w:val="20"/>
        </w:rPr>
        <w:t xml:space="preserve">2.1  </w:t>
      </w:r>
      <w:r>
        <w:rPr>
          <w:rFonts w:ascii="Calibri" w:cs="Calibri" w:eastAsia="Calibri" w:hAnsi="Calibri"/>
          <w:b/>
          <w:bCs/>
          <w:color w:val="0F766E"/>
          <w:sz w:val="20"/>
          <w:szCs w:val="20"/>
        </w:rPr>
        <w:t xml:space="preserve">Expiry claims</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Each expiry claim shall be supported by a batch-wise statement showing, for each batch: batch number, expiry date, quantity, and the purchase invoice against which the batch was received.</w:t>
      </w:r>
    </w:p>
    <w:p>
      <w:pPr>
        <w:spacing w:after="80"/>
        <w:ind w:left="460"/>
      </w:pPr>
      <w:r>
        <w:rPr>
          <w:rFonts w:ascii="Calibri" w:cs="Calibri" w:eastAsia="Calibri" w:hAnsi="Calibri"/>
          <w:sz w:val="20"/>
          <w:szCs w:val="20"/>
        </w:rPr>
        <w:t xml:space="preserve">Where goods are destroyed rather than returned, the claim shall be supported by a destruction certificate [and photographs] [and confirmation of a Company representative's attendance].</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A claim submitted as a total with no batch detail cannot be validated and will be queried. This is the single requirement that determines whether expiry claims settle.</w:t>
      </w:r>
    </w:p>
    <w:p>
      <w:pPr>
        <w:spacing w:after="60" w:before="160"/>
      </w:pPr>
      <w:r>
        <w:rPr>
          <w:rFonts w:ascii="Calibri" w:cs="Calibri" w:eastAsia="Calibri" w:hAnsi="Calibri"/>
          <w:b/>
          <w:bCs/>
          <w:color w:val="000000"/>
          <w:sz w:val="20"/>
          <w:szCs w:val="20"/>
        </w:rPr>
        <w:t xml:space="preserve">2.2  </w:t>
      </w:r>
      <w:r>
        <w:rPr>
          <w:rFonts w:ascii="Calibri" w:cs="Calibri" w:eastAsia="Calibri" w:hAnsi="Calibri"/>
          <w:b/>
          <w:bCs/>
          <w:color w:val="000000"/>
          <w:sz w:val="20"/>
          <w:szCs w:val="20"/>
        </w:rPr>
        <w:t xml:space="preserve">Damage and breakage</w:t>
      </w:r>
    </w:p>
    <w:p>
      <w:pPr>
        <w:spacing w:after="80"/>
        <w:ind w:left="460"/>
      </w:pPr>
      <w:r>
        <w:rPr>
          <w:rFonts w:ascii="Calibri" w:cs="Calibri" w:eastAsia="Calibri" w:hAnsi="Calibri"/>
          <w:sz w:val="20"/>
          <w:szCs w:val="20"/>
        </w:rPr>
        <w:t xml:space="preserve">Damage claims shall be supported by a damage register recording date, batch, quantity, cause and the person recording it, together with photographs and, where the damage occurred in transit, the transporter's documentation and any endorsement made at delivery.</w:t>
      </w:r>
    </w:p>
    <w:p>
      <w:pPr>
        <w:spacing w:after="60" w:before="160"/>
      </w:pPr>
      <w:r>
        <w:rPr>
          <w:rFonts w:ascii="Calibri" w:cs="Calibri" w:eastAsia="Calibri" w:hAnsi="Calibri"/>
          <w:b/>
          <w:bCs/>
          <w:color w:val="0F766E"/>
          <w:sz w:val="20"/>
          <w:szCs w:val="20"/>
        </w:rPr>
        <w:t xml:space="preserve">2.3  </w:t>
      </w:r>
      <w:r>
        <w:rPr>
          <w:rFonts w:ascii="Calibri" w:cs="Calibri" w:eastAsia="Calibri" w:hAnsi="Calibri"/>
          <w:b/>
          <w:bCs/>
          <w:color w:val="0F766E"/>
          <w:sz w:val="20"/>
          <w:szCs w:val="20"/>
        </w:rPr>
        <w:t xml:space="preserve">Transit damage</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Damage identified at the point of delivery shall be endorsed on the delivery document before acceptance. Goods accepted without endorsement shall be presumed to have been received in good order.</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Five minutes at the gate is the difference between a claim and an absorbed loss. This clause makes the standard explicit rather than leaving it to argument.</w:t>
      </w:r>
    </w:p>
    <w:p>
      <w:pPr>
        <w:pStyle w:val="Heading2"/>
        <w:spacing w:after="120" w:before="220"/>
      </w:pPr>
      <w:r>
        <w:t xml:space="preserve">3  Tax</w:t>
      </w:r>
    </w:p>
    <w:p>
      <w:pPr>
        <w:spacing w:after="60" w:before="160"/>
      </w:pPr>
      <w:r>
        <w:rPr>
          <w:rFonts w:ascii="Calibri" w:cs="Calibri" w:eastAsia="Calibri" w:hAnsi="Calibri"/>
          <w:b/>
          <w:bCs/>
          <w:color w:val="000000"/>
          <w:sz w:val="20"/>
          <w:szCs w:val="20"/>
        </w:rPr>
        <w:t xml:space="preserve">3.1  </w:t>
      </w:r>
      <w:r>
        <w:rPr>
          <w:rFonts w:ascii="Calibri" w:cs="Calibri" w:eastAsia="Calibri" w:hAnsi="Calibri"/>
          <w:b/>
          <w:bCs/>
          <w:color w:val="000000"/>
          <w:sz w:val="20"/>
          <w:szCs w:val="20"/>
        </w:rPr>
        <w:t xml:space="preserve">Credit reversal</w:t>
      </w:r>
    </w:p>
    <w:p>
      <w:pPr>
        <w:spacing w:after="80"/>
        <w:ind w:left="460"/>
      </w:pPr>
      <w:r>
        <w:rPr>
          <w:rFonts w:ascii="Calibri" w:cs="Calibri" w:eastAsia="Calibri" w:hAnsi="Calibri"/>
          <w:sz w:val="20"/>
          <w:szCs w:val="20"/>
        </w:rPr>
        <w:t xml:space="preserve">The parties acknowledge that input tax credit may require reversal in respect of goods destroyed or written off, and shall each comply with applicable law in that respect.</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Returning expired stock and destroying it have different tax outcomes, and the difference can be material. Establish which route applies before the stock reaches the point of decision. Confirm with a tax advisor.</w:t>
      </w:r>
    </w:p>
    <w:p>
      <w:pPr>
        <w:pStyle w:val="Heading2"/>
        <w:spacing w:after="120" w:before="220"/>
      </w:pPr>
      <w:r>
        <w:t xml:space="preserve">4  Standard terms</w:t>
      </w:r>
    </w:p>
    <w:p>
      <w:pPr>
        <w:spacing w:after="60" w:before="160"/>
      </w:pPr>
      <w:r>
        <w:rPr>
          <w:rFonts w:ascii="Calibri" w:cs="Calibri" w:eastAsia="Calibri" w:hAnsi="Calibri"/>
          <w:b/>
          <w:bCs/>
          <w:color w:val="0F766E"/>
          <w:sz w:val="20"/>
          <w:szCs w:val="20"/>
        </w:rPr>
        <w:t xml:space="preserve">4.1  </w:t>
      </w:r>
      <w:r>
        <w:rPr>
          <w:rFonts w:ascii="Calibri" w:cs="Calibri" w:eastAsia="Calibri" w:hAnsi="Calibri"/>
          <w:b/>
          <w:bCs/>
          <w:color w:val="0F766E"/>
          <w:sz w:val="20"/>
          <w:szCs w:val="20"/>
        </w:rPr>
        <w:t xml:space="preserve">Claim window</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Claims shall be submitted within [30] days of the end of each claim period. Submission is complete on the Company's written acknowledgement.</w:t>
      </w:r>
    </w:p>
    <w:p>
      <w:pPr>
        <w:spacing w:after="60" w:before="160"/>
      </w:pPr>
      <w:r>
        <w:rPr>
          <w:rFonts w:ascii="Calibri" w:cs="Calibri" w:eastAsia="Calibri" w:hAnsi="Calibri"/>
          <w:b/>
          <w:bCs/>
          <w:color w:val="0F766E"/>
          <w:sz w:val="20"/>
          <w:szCs w:val="20"/>
        </w:rPr>
        <w:t xml:space="preserve">4.2  </w:t>
      </w:r>
      <w:r>
        <w:rPr>
          <w:rFonts w:ascii="Calibri" w:cs="Calibri" w:eastAsia="Calibri" w:hAnsi="Calibri"/>
          <w:b/>
          <w:bCs/>
          <w:color w:val="0F766E"/>
          <w:sz w:val="20"/>
          <w:szCs w:val="20"/>
        </w:rPr>
        <w:t xml:space="preserve">Amendment</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Any amendment shall be notified in writing not less than [15] days before its effective date and shall apply prospectively only.</w:t>
      </w:r>
    </w:p>
    <w:p>
      <w:pPr>
        <w:spacing w:after="160" w:before="0"/>
      </w:pPr>
      <w:r>
        <w:rPr>
          <w:rFonts w:ascii="Calibri" w:cs="Calibri" w:eastAsia="Calibri" w:hAnsi="Calibri"/>
          <w:sz w:val="20"/>
          <w:szCs w:val="20"/>
        </w:rPr>
        <w:t xml:space="preserve"/>
      </w:r>
    </w:p>
    <w:p>
      <w:pPr>
        <w:pStyle w:val="Heading3"/>
        <w:spacing w:after="100" w:before="180"/>
      </w:pPr>
      <w:r>
        <w:t xml:space="preserve">Execution</w:t>
      </w:r>
    </w:p>
    <w:p>
      <w:pPr>
        <w:spacing w:after="200" w:before="0"/>
      </w:pPr>
      <w:r>
        <w:rPr>
          <w:rFonts w:ascii="Calibri" w:cs="Calibri" w:eastAsia="Calibri" w:hAnsi="Calibri"/>
          <w:sz w:val="20"/>
          <w:szCs w:val="20"/>
        </w:rPr>
        <w:t xml:space="preserve">Signed for and on behalf of the parties by their duly authorised representatives.</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1400"/>
        <w:gridCol w:w="3600"/>
        <w:gridCol w:w="3600"/>
      </w:tblGrid>
      <w:tr>
        <w:trPr>
          <w:tblHeader/>
        </w:trPr>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Supplier / Company</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Distributor / Dealer</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Name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Designation</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Signature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Date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Company seal</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bl>
    <w:p>
      <w:pPr>
        <w:spacing w:after="120" w:before="0"/>
      </w:pPr>
      <w:r>
        <w:rPr>
          <w:rFonts w:ascii="Calibri" w:cs="Calibri" w:eastAsia="Calibri" w:hAnsi="Calibri"/>
          <w:sz w:val="20"/>
          <w:szCs w:val="20"/>
        </w:rPr>
        <w:t xml:space="preserve"/>
      </w:r>
    </w:p>
    <w:p>
      <w:r>
        <w:br w:type="page"/>
      </w:r>
    </w:p>
    <w:p>
      <w:pPr>
        <w:pStyle w:val="Heading1"/>
        <w:spacing w:after="160" w:before="240"/>
      </w:pPr>
      <w:r>
        <w:t xml:space="preserve">10.  Market Development / Co-op Advertising Agreement</w:t>
      </w:r>
    </w:p>
    <w:p>
      <w:pPr>
        <w:pBdr>
          <w:left w:val="single" w:color="0F766E" w:sz="12" w:space="8"/>
        </w:pBdr>
        <w:spacing w:after="200"/>
        <w:ind w:left="288"/>
      </w:pPr>
      <w:r>
        <w:rPr>
          <w:rFonts w:ascii="Calibri" w:cs="Calibri" w:eastAsia="Calibri" w:hAnsi="Calibri"/>
          <w:b/>
          <w:bCs/>
          <w:color w:val="0F766E"/>
          <w:sz w:val="17"/>
          <w:szCs w:val="17"/>
        </w:rPr>
        <w:t xml:space="preserve">WHEN TO USE  </w:t>
      </w:r>
      <w:r>
        <w:rPr>
          <w:rFonts w:ascii="Calibri" w:cs="Calibri" w:eastAsia="Calibri" w:hAnsi="Calibri"/>
          <w:i/>
          <w:iCs/>
          <w:sz w:val="19"/>
          <w:szCs w:val="19"/>
        </w:rPr>
        <w:t xml:space="preserve">Funds agreed marketing activity. Fails on prior approval more than on anything else — an activity run before approval is generally not claimable at all.</w:t>
      </w:r>
    </w:p>
    <w:p>
      <w:pPr>
        <w:pStyle w:val="Heading2"/>
        <w:spacing w:after="120" w:before="220"/>
      </w:pPr>
      <w:r>
        <w:t xml:space="preserve">1  Particulars</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3400"/>
        <w:gridCol w:w="5200"/>
      </w:tblGrid>
      <w:tr>
        <w:trPr>
          <w:tblHeader/>
        </w:trPr>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Field</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Detail</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Agreement reference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[MDF/____/____]</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Period</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[DD-MMM-YYYY] to [DD-MMM-YYYY]</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Fund basis</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[Fixed ₹____ / ____% of Qualifying Purchase Value]</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Fund value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₹[____]</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Company share of approved activity</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[____]%</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Prior approval required</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[YES — mandatory]</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Approval turnaround</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[7] working days</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Claim window</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[30] days from completion of the activity</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Unused fund at period end</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[LAPSES / CARRIES FORWARD]</w:t>
            </w:r>
          </w:p>
        </w:tc>
      </w:tr>
    </w:tbl>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The last row is worth checking. A fund that lapses unused is a fund the distributor should be actively spending in the final quarter; one that carries forward is not.</w:t>
      </w:r>
    </w:p>
    <w:p>
      <w:pPr>
        <w:pStyle w:val="Heading2"/>
        <w:spacing w:after="120" w:before="220"/>
      </w:pPr>
      <w:r>
        <w:t xml:space="preserve">2  Approval</w:t>
      </w:r>
    </w:p>
    <w:p>
      <w:pPr>
        <w:spacing w:after="60" w:before="160"/>
      </w:pPr>
      <w:r>
        <w:rPr>
          <w:rFonts w:ascii="Calibri" w:cs="Calibri" w:eastAsia="Calibri" w:hAnsi="Calibri"/>
          <w:b/>
          <w:bCs/>
          <w:color w:val="0F766E"/>
          <w:sz w:val="20"/>
          <w:szCs w:val="20"/>
        </w:rPr>
        <w:t xml:space="preserve">2.1  </w:t>
      </w:r>
      <w:r>
        <w:rPr>
          <w:rFonts w:ascii="Calibri" w:cs="Calibri" w:eastAsia="Calibri" w:hAnsi="Calibri"/>
          <w:b/>
          <w:bCs/>
          <w:color w:val="0F766E"/>
          <w:sz w:val="20"/>
          <w:szCs w:val="20"/>
        </w:rPr>
        <w:t xml:space="preserve">Prior approval</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No activity shall be claimable unless approved in writing by the Company before the activity commences.</w:t>
      </w:r>
    </w:p>
    <w:p>
      <w:pPr>
        <w:spacing w:after="80"/>
        <w:ind w:left="460"/>
      </w:pPr>
      <w:r>
        <w:rPr>
          <w:rFonts w:ascii="Calibri" w:cs="Calibri" w:eastAsia="Calibri" w:hAnsi="Calibri"/>
          <w:sz w:val="20"/>
          <w:szCs w:val="20"/>
        </w:rPr>
        <w:t xml:space="preserve">A request for approval shall state the activity, the outlets or media, the dates, the estimated cost, and the Company share claimed.</w:t>
      </w:r>
    </w:p>
    <w:p>
      <w:pPr>
        <w:spacing w:after="80"/>
        <w:ind w:left="460"/>
      </w:pPr>
      <w:r>
        <w:rPr>
          <w:rFonts w:ascii="Calibri" w:cs="Calibri" w:eastAsia="Calibri" w:hAnsi="Calibri"/>
          <w:sz w:val="20"/>
          <w:szCs w:val="20"/>
        </w:rPr>
        <w:t xml:space="preserve">The Company shall respond within [7] working days. Where the Company does not respond within that period, the request shall be [deemed approved / deemed refused].</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The deeming provision in the third sentence is worth negotiating for. Without it, an unanswered approval request blocks the activity indefinitely and the fund goes unspent.</w:t>
      </w:r>
    </w:p>
    <w:p>
      <w:pPr>
        <w:pStyle w:val="Heading2"/>
        <w:spacing w:after="120" w:before="220"/>
      </w:pPr>
      <w:r>
        <w:t xml:space="preserve">3  Evidence</w:t>
      </w:r>
    </w:p>
    <w:p>
      <w:pPr>
        <w:spacing w:after="60" w:before="160"/>
      </w:pPr>
      <w:r>
        <w:rPr>
          <w:rFonts w:ascii="Calibri" w:cs="Calibri" w:eastAsia="Calibri" w:hAnsi="Calibri"/>
          <w:b/>
          <w:bCs/>
          <w:color w:val="000000"/>
          <w:sz w:val="20"/>
          <w:szCs w:val="20"/>
        </w:rPr>
        <w:t xml:space="preserve">3.1  </w:t>
      </w:r>
      <w:r>
        <w:rPr>
          <w:rFonts w:ascii="Calibri" w:cs="Calibri" w:eastAsia="Calibri" w:hAnsi="Calibri"/>
          <w:b/>
          <w:bCs/>
          <w:color w:val="000000"/>
          <w:sz w:val="20"/>
          <w:szCs w:val="20"/>
        </w:rPr>
        <w:t xml:space="preserve">Required evidence</w:t>
      </w:r>
    </w:p>
    <w:p>
      <w:pPr>
        <w:spacing w:after="80"/>
        <w:ind w:left="460"/>
      </w:pPr>
      <w:r>
        <w:rPr>
          <w:rFonts w:ascii="Calibri" w:cs="Calibri" w:eastAsia="Calibri" w:hAnsi="Calibri"/>
          <w:sz w:val="20"/>
          <w:szCs w:val="20"/>
        </w:rPr>
        <w:t xml:space="preserve">Each claim shall be supported by: the written approval reference, the third-party invoice for the activity, proof of performance (tear sheets, dated photographs, media schedules or broadcast certificates as applicable), and a statement of the amount claimed against the Company share.</w:t>
      </w:r>
    </w:p>
    <w:p>
      <w:pPr>
        <w:spacing w:after="60" w:before="160"/>
      </w:pPr>
      <w:r>
        <w:rPr>
          <w:rFonts w:ascii="Calibri" w:cs="Calibri" w:eastAsia="Calibri" w:hAnsi="Calibri"/>
          <w:b/>
          <w:bCs/>
          <w:color w:val="000000"/>
          <w:sz w:val="20"/>
          <w:szCs w:val="20"/>
        </w:rPr>
        <w:t xml:space="preserve">3.2  </w:t>
      </w:r>
      <w:r>
        <w:rPr>
          <w:rFonts w:ascii="Calibri" w:cs="Calibri" w:eastAsia="Calibri" w:hAnsi="Calibri"/>
          <w:b/>
          <w:bCs/>
          <w:color w:val="000000"/>
          <w:sz w:val="20"/>
          <w:szCs w:val="20"/>
        </w:rPr>
        <w:t xml:space="preserve">Third-party costs</w:t>
      </w:r>
    </w:p>
    <w:p>
      <w:pPr>
        <w:spacing w:after="80"/>
        <w:ind w:left="460"/>
      </w:pPr>
      <w:r>
        <w:rPr>
          <w:rFonts w:ascii="Calibri" w:cs="Calibri" w:eastAsia="Calibri" w:hAnsi="Calibri"/>
          <w:sz w:val="20"/>
          <w:szCs w:val="20"/>
        </w:rPr>
        <w:t xml:space="preserve">Only costs invoiced by a third party shall be claimable. Internal costs of the Distributor are not claimable unless expressly approved.</w:t>
      </w:r>
    </w:p>
    <w:p>
      <w:pPr>
        <w:pStyle w:val="Heading2"/>
        <w:spacing w:after="120" w:before="220"/>
      </w:pPr>
      <w:r>
        <w:t xml:space="preserve">4  Tax characterisation</w:t>
      </w:r>
    </w:p>
    <w:p>
      <w:pPr>
        <w:spacing w:after="60" w:before="160"/>
      </w:pPr>
      <w:r>
        <w:rPr>
          <w:rFonts w:ascii="Calibri" w:cs="Calibri" w:eastAsia="Calibri" w:hAnsi="Calibri"/>
          <w:b/>
          <w:bCs/>
          <w:color w:val="000000"/>
          <w:sz w:val="20"/>
          <w:szCs w:val="20"/>
        </w:rPr>
        <w:t xml:space="preserve">4.1  </w:t>
      </w:r>
      <w:r>
        <w:rPr>
          <w:rFonts w:ascii="Calibri" w:cs="Calibri" w:eastAsia="Calibri" w:hAnsi="Calibri"/>
          <w:b/>
          <w:bCs/>
          <w:color w:val="000000"/>
          <w:sz w:val="20"/>
          <w:szCs w:val="20"/>
        </w:rPr>
        <w:t xml:space="preserve">Nature of the payment</w:t>
      </w:r>
    </w:p>
    <w:p>
      <w:pPr>
        <w:spacing w:after="80"/>
        <w:ind w:left="460"/>
      </w:pPr>
      <w:r>
        <w:rPr>
          <w:rFonts w:ascii="Calibri" w:cs="Calibri" w:eastAsia="Calibri" w:hAnsi="Calibri"/>
          <w:sz w:val="20"/>
          <w:szCs w:val="20"/>
        </w:rPr>
        <w:t xml:space="preserve">The parties record that payments under this Agreement are consideration for promotional services and are not a discount on the price of goods.</w:t>
      </w:r>
    </w:p>
    <w:p>
      <w:pPr>
        <w:pBdr>
          <w:left w:val="single" w:color="A3541B" w:sz="12" w:space="8"/>
        </w:pBdr>
        <w:spacing w:after="160" w:before="80"/>
        <w:ind w:left="360"/>
      </w:pPr>
      <w:r>
        <w:rPr>
          <w:rFonts w:ascii="Calibri" w:cs="Calibri" w:eastAsia="Calibri" w:hAnsi="Calibri"/>
          <w:b/>
          <w:bCs/>
          <w:color w:val="A3541B"/>
          <w:sz w:val="17"/>
          <w:szCs w:val="17"/>
        </w:rPr>
        <w:t xml:space="preserve">DRAFTING NOTE  </w:t>
      </w:r>
      <w:r>
        <w:rPr>
          <w:rFonts w:ascii="Calibri" w:cs="Calibri" w:eastAsia="Calibri" w:hAnsi="Calibri"/>
          <w:i/>
          <w:iCs/>
          <w:color w:val="5B6670"/>
          <w:sz w:val="18"/>
          <w:szCs w:val="18"/>
        </w:rPr>
        <w:t xml:space="preserve">Marketing and co-op payments are generally payments for an activity performed. There may also be tax deduction obligations where a benefit or perquisite arises from business. Confirm the position with a tax advisor before the first payment.</w:t>
      </w:r>
    </w:p>
    <w:p>
      <w:pPr>
        <w:pStyle w:val="Heading2"/>
        <w:spacing w:after="120" w:before="220"/>
      </w:pPr>
      <w:r>
        <w:t xml:space="preserve">5  Standard terms</w:t>
      </w:r>
    </w:p>
    <w:p>
      <w:pPr>
        <w:spacing w:after="60" w:before="160"/>
      </w:pPr>
      <w:r>
        <w:rPr>
          <w:rFonts w:ascii="Calibri" w:cs="Calibri" w:eastAsia="Calibri" w:hAnsi="Calibri"/>
          <w:b/>
          <w:bCs/>
          <w:color w:val="0F766E"/>
          <w:sz w:val="20"/>
          <w:szCs w:val="20"/>
        </w:rPr>
        <w:t xml:space="preserve">5.1  </w:t>
      </w:r>
      <w:r>
        <w:rPr>
          <w:rFonts w:ascii="Calibri" w:cs="Calibri" w:eastAsia="Calibri" w:hAnsi="Calibri"/>
          <w:b/>
          <w:bCs/>
          <w:color w:val="0F766E"/>
          <w:sz w:val="20"/>
          <w:szCs w:val="20"/>
        </w:rPr>
        <w:t xml:space="preserve">Claim window</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Claims shall be submitted within [30] days of completion of the approved activity. Submission is complete on the Company's written acknowledgement.</w:t>
      </w:r>
    </w:p>
    <w:p>
      <w:pPr>
        <w:spacing w:after="60" w:before="160"/>
      </w:pPr>
      <w:r>
        <w:rPr>
          <w:rFonts w:ascii="Calibri" w:cs="Calibri" w:eastAsia="Calibri" w:hAnsi="Calibri"/>
          <w:b/>
          <w:bCs/>
          <w:color w:val="0F766E"/>
          <w:sz w:val="20"/>
          <w:szCs w:val="20"/>
        </w:rPr>
        <w:t xml:space="preserve">5.2  </w:t>
      </w:r>
      <w:r>
        <w:rPr>
          <w:rFonts w:ascii="Calibri" w:cs="Calibri" w:eastAsia="Calibri" w:hAnsi="Calibri"/>
          <w:b/>
          <w:bCs/>
          <w:color w:val="0F766E"/>
          <w:sz w:val="20"/>
          <w:szCs w:val="20"/>
        </w:rPr>
        <w:t xml:space="preserve">Amendment</w:t>
      </w:r>
      <w:r>
        <w:rPr>
          <w:rFonts w:ascii="Calibri" w:cs="Calibri" w:eastAsia="Calibri" w:hAnsi="Calibri"/>
          <w:b/>
          <w:bCs/>
          <w:color w:val="A3541B"/>
          <w:sz w:val="14"/>
          <w:szCs w:val="14"/>
        </w:rPr>
        <w:t xml:space="preserve">   ◆ CRITICAL</w:t>
      </w:r>
    </w:p>
    <w:p>
      <w:pPr>
        <w:spacing w:after="80"/>
        <w:ind w:left="460"/>
      </w:pPr>
      <w:r>
        <w:rPr>
          <w:rFonts w:ascii="Calibri" w:cs="Calibri" w:eastAsia="Calibri" w:hAnsi="Calibri"/>
          <w:sz w:val="20"/>
          <w:szCs w:val="20"/>
        </w:rPr>
        <w:t xml:space="preserve">Any amendment shall be notified in writing not less than [15] days before its effective date and shall apply prospectively only.</w:t>
      </w:r>
    </w:p>
    <w:p>
      <w:pPr>
        <w:spacing w:after="160" w:before="0"/>
      </w:pPr>
      <w:r>
        <w:rPr>
          <w:rFonts w:ascii="Calibri" w:cs="Calibri" w:eastAsia="Calibri" w:hAnsi="Calibri"/>
          <w:sz w:val="20"/>
          <w:szCs w:val="20"/>
        </w:rPr>
        <w:t xml:space="preserve"/>
      </w:r>
    </w:p>
    <w:p>
      <w:pPr>
        <w:pStyle w:val="Heading3"/>
        <w:spacing w:after="100" w:before="180"/>
      </w:pPr>
      <w:r>
        <w:t xml:space="preserve">Execution</w:t>
      </w:r>
    </w:p>
    <w:p>
      <w:pPr>
        <w:spacing w:after="200" w:before="0"/>
      </w:pPr>
      <w:r>
        <w:rPr>
          <w:rFonts w:ascii="Calibri" w:cs="Calibri" w:eastAsia="Calibri" w:hAnsi="Calibri"/>
          <w:sz w:val="20"/>
          <w:szCs w:val="20"/>
        </w:rPr>
        <w:t xml:space="preserve">Signed for and on behalf of the parties by their duly authorised representatives.</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1400"/>
        <w:gridCol w:w="3600"/>
        <w:gridCol w:w="3600"/>
      </w:tblGrid>
      <w:tr>
        <w:trPr>
          <w:tblHeader/>
        </w:trPr>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Supplier / Company</w:t>
            </w:r>
          </w:p>
        </w:tc>
        <w:tc>
          <w:tcPr>
            <w:tcW w:type="dxa" w:w="0"/>
            <w:shd w:fill="EAF3F2" w:val="clear"/>
            <w:tcMar>
              <w:top w:type="dxa" w:w="60"/>
              <w:left w:type="dxa" w:w="90"/>
              <w:bottom w:type="dxa" w:w="60"/>
              <w:right w:type="dxa" w:w="90"/>
            </w:tcMar>
          </w:tcPr>
          <w:p>
            <w:r>
              <w:rPr>
                <w:rFonts w:ascii="Calibri" w:cs="Calibri" w:eastAsia="Calibri" w:hAnsi="Calibri"/>
                <w:b/>
                <w:bCs/>
                <w:sz w:val="18"/>
                <w:szCs w:val="18"/>
              </w:rPr>
              <w:t xml:space="preserve">Distributor / Dealer</w:t>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Name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Designation</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Signature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Date</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r>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Company seal</w:t>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c>
          <w:tcPr>
            <w:tcW w:type="dxa" w:w="0"/>
            <w:tcMar>
              <w:top w:type="dxa" w:w="60"/>
              <w:left w:type="dxa" w:w="90"/>
              <w:bottom w:type="dxa" w:w="60"/>
              <w:right w:type="dxa" w:w="90"/>
            </w:tcMar>
          </w:tcPr>
          <w:p>
            <w:r>
              <w:rPr>
                <w:rFonts w:ascii="Calibri" w:cs="Calibri" w:eastAsia="Calibri" w:hAnsi="Calibri"/>
                <w:b w:val="false"/>
                <w:bCs w:val="false"/>
                <w:sz w:val="18"/>
                <w:szCs w:val="18"/>
              </w:rPr>
              <w:t xml:space="preserve"/>
            </w:r>
          </w:p>
        </w:tc>
      </w:tr>
    </w:tbl>
    <w:p>
      <w:pPr>
        <w:spacing w:after="120" w:before="0"/>
      </w:pPr>
      <w:r>
        <w:rPr>
          <w:rFonts w:ascii="Calibri" w:cs="Calibri" w:eastAsia="Calibri" w:hAnsi="Calibri"/>
          <w:sz w:val="20"/>
          <w:szCs w:val="20"/>
        </w:rPr>
        <w:t xml:space="preserve"/>
      </w:r>
    </w:p>
    <w:p>
      <w:r>
        <w:br w:type="page"/>
      </w:r>
    </w:p>
    <w:p>
      <w:pPr>
        <w:pStyle w:val="Heading1"/>
        <w:spacing w:after="160" w:before="240"/>
      </w:pPr>
      <w:r>
        <w:t xml:space="preserve">Notice</w:t>
      </w:r>
    </w:p>
    <w:p>
      <w:pPr>
        <w:spacing w:after="120" w:before="0"/>
      </w:pPr>
      <w:r>
        <w:rPr>
          <w:rFonts w:ascii="Calibri" w:cs="Calibri" w:eastAsia="Calibri" w:hAnsi="Calibri"/>
          <w:sz w:val="20"/>
          <w:szCs w:val="20"/>
        </w:rPr>
        <w:t xml:space="preserve">These templates are general drafting guidance, not legal or tax advice. They are a starting point for a conversation with a qualified advisor, not a substitute for one. Have any agreement you intend to sign reviewed by a lawyer, and confirm every tax position against current CBIC material with a tax advisor.</w:t>
      </w:r>
    </w:p>
    <w:p>
      <w:pPr>
        <w:spacing w:after="120" w:before="0"/>
      </w:pPr>
      <w:r>
        <w:rPr>
          <w:rFonts w:ascii="Calibri" w:cs="Calibri" w:eastAsia="Calibri" w:hAnsi="Calibri"/>
          <w:b/>
          <w:bCs/>
          <w:sz w:val="20"/>
          <w:szCs w:val="20"/>
        </w:rPr>
        <w:t xml:space="preserve">Tax positions referenced in the drafting notes were current when this pack was prepared. In particular, the Finance Act 2026 amends Section 15(3)(b) and Section 34 of the CGST Act in respect of post-supply discounts, and those amendments had not commenced at the time of preparation. Confirm which position is in force for your period.</w:t>
      </w:r>
    </w:p>
    <w:p>
      <w:pPr>
        <w:spacing w:after="120" w:before="160"/>
      </w:pPr>
      <w:r>
        <w:rPr>
          <w:rFonts w:ascii="Calibri" w:cs="Calibri" w:eastAsia="Calibri" w:hAnsi="Calibri"/>
          <w:i/>
          <w:iCs/>
          <w:color w:val="5B6670"/>
          <w:sz w:val="20"/>
          <w:szCs w:val="20"/>
        </w:rPr>
        <w:t xml:space="preserve">Prepared by RebateLedger. Adapt freely for your own use.</w:t>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20"/>
    </w:pPr>
    <w:rPr>
      <w:rFonts w:ascii="Calibri" w:cs="Calibri" w:eastAsia="Calibri" w:hAnsi="Calibri"/>
      <w:b/>
      <w:bCs/>
      <w:color w:val="0F766E"/>
      <w:sz w:val="32"/>
      <w:szCs w:val="32"/>
    </w:rPr>
  </w:style>
  <w:style w:type="paragraph" w:styleId="Heading2">
    <w:name w:val="Heading 2"/>
    <w:basedOn w:val="Normal"/>
    <w:next w:val="Normal"/>
    <w:qFormat/>
    <w:pPr>
      <w:spacing w:after="120" w:before="240"/>
    </w:pPr>
    <w:rPr>
      <w:rFonts w:ascii="Calibri" w:cs="Calibri" w:eastAsia="Calibri" w:hAnsi="Calibri"/>
      <w:b/>
      <w:bCs/>
      <w:color w:val="1F2933"/>
      <w:sz w:val="24"/>
      <w:szCs w:val="24"/>
    </w:rPr>
  </w:style>
  <w:style w:type="paragraph" w:styleId="Heading3">
    <w:name w:val="Heading 3"/>
    <w:basedOn w:val="Normal"/>
    <w:next w:val="Normal"/>
    <w:qFormat/>
    <w:pPr>
      <w:spacing w:after="100" w:before="200"/>
    </w:pPr>
    <w:rPr>
      <w:rFonts w:ascii="Calibri" w:cs="Calibri" w:eastAsia="Calibri" w:hAnsi="Calibri"/>
      <w:b/>
      <w:bCs/>
      <w:color w:val="1F2933"/>
      <w:sz w:val="21"/>
      <w:szCs w:val="2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 Rebate Agreement Templates</dc:title>
  <dc:creator>RebateLedger</dc:creator>
  <dc:description>Annotated drafting templates for trade schemes, rebates, allowances and incentive agreements.</dc:description>
  <cp:lastModifiedBy>Un-named</cp:lastModifiedBy>
  <cp:revision>1</cp:revision>
  <dcterms:created xsi:type="dcterms:W3CDTF">2026-08-29T03:25:07.763Z</dcterms:created>
  <dcterms:modified xsi:type="dcterms:W3CDTF">2026-08-29T03:25:07.780Z</dcterms:modified>
</cp:coreProperties>
</file>

<file path=docProps/custom.xml><?xml version="1.0" encoding="utf-8"?>
<Properties xmlns="http://schemas.openxmlformats.org/officeDocument/2006/custom-properties" xmlns:vt="http://schemas.openxmlformats.org/officeDocument/2006/docPropsVTypes"/>
</file>